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48" w14:textId="76C7F6A7" w:rsidR="00511F6C" w:rsidRPr="00E57B4E" w:rsidRDefault="00477434" w:rsidP="00E57B4E">
      <w:pPr>
        <w:spacing w:after="120"/>
        <w:jc w:val="both"/>
        <w:rPr>
          <w:b/>
          <w:color w:val="222222"/>
          <w:sz w:val="26"/>
          <w:szCs w:val="26"/>
          <w:highlight w:val="white"/>
          <w:lang w:val="ru-RU"/>
        </w:rPr>
      </w:pPr>
      <w:bookmarkStart w:id="0" w:name="_GoBack"/>
      <w:bookmarkEnd w:id="0"/>
      <w:r w:rsidRPr="00E57B4E">
        <w:rPr>
          <w:b/>
          <w:color w:val="222222"/>
          <w:sz w:val="26"/>
          <w:szCs w:val="26"/>
          <w:highlight w:val="white"/>
          <w:lang w:val="ru-RU"/>
        </w:rPr>
        <w:t xml:space="preserve">Открытое письмо </w:t>
      </w:r>
    </w:p>
    <w:p w14:paraId="717FBDFA" w14:textId="77777777" w:rsidR="00F90A46" w:rsidRPr="008D0AD4" w:rsidRDefault="00F90A46" w:rsidP="00F90A46">
      <w:pPr>
        <w:jc w:val="both"/>
        <w:rPr>
          <w:b/>
          <w:color w:val="222222"/>
          <w:sz w:val="24"/>
          <w:szCs w:val="24"/>
          <w:highlight w:val="white"/>
          <w:lang w:val="ru-RU"/>
        </w:rPr>
      </w:pPr>
    </w:p>
    <w:p w14:paraId="622F2C14" w14:textId="77777777" w:rsidR="00F90A46" w:rsidRPr="008D0AD4" w:rsidRDefault="00F90A46" w:rsidP="00E57B4E">
      <w:pPr>
        <w:rPr>
          <w:lang w:val="ru-RU"/>
        </w:rPr>
      </w:pPr>
      <w:r w:rsidRPr="008D0AD4">
        <w:rPr>
          <w:lang w:val="ru-RU"/>
        </w:rPr>
        <w:t>Президенту Кыргызской Республики Садыру Жапарову</w:t>
      </w:r>
    </w:p>
    <w:p w14:paraId="179CFC8A" w14:textId="77777777" w:rsidR="00F90A46" w:rsidRPr="008D0AD4" w:rsidRDefault="00F90A46" w:rsidP="00E57B4E">
      <w:pPr>
        <w:jc w:val="both"/>
        <w:rPr>
          <w:i/>
          <w:iCs/>
          <w:color w:val="222222"/>
          <w:highlight w:val="white"/>
          <w:lang w:val="ru-RU"/>
        </w:rPr>
      </w:pPr>
    </w:p>
    <w:p w14:paraId="00000049" w14:textId="14D056C2" w:rsidR="00511F6C" w:rsidRPr="008D0AD4" w:rsidRDefault="00F90A46" w:rsidP="00E57B4E">
      <w:pPr>
        <w:jc w:val="both"/>
        <w:rPr>
          <w:i/>
          <w:iCs/>
          <w:color w:val="222222"/>
          <w:highlight w:val="white"/>
          <w:lang w:val="en-GB"/>
        </w:rPr>
      </w:pPr>
      <w:r w:rsidRPr="008D0AD4">
        <w:rPr>
          <w:i/>
          <w:iCs/>
          <w:color w:val="222222"/>
          <w:highlight w:val="white"/>
          <w:lang w:val="ru-RU"/>
        </w:rPr>
        <w:t>20 марта 2024 г.</w:t>
      </w:r>
    </w:p>
    <w:p w14:paraId="126ADDEE" w14:textId="77777777" w:rsidR="00E57B4E" w:rsidRPr="008D0AD4" w:rsidRDefault="00E57B4E" w:rsidP="00E57B4E">
      <w:pPr>
        <w:rPr>
          <w:highlight w:val="yellow"/>
          <w:lang w:val="ru-RU"/>
        </w:rPr>
      </w:pPr>
    </w:p>
    <w:p w14:paraId="0608F604" w14:textId="7C7E4004" w:rsidR="00E57B4E" w:rsidRPr="008D0AD4" w:rsidRDefault="00E57B4E" w:rsidP="00E57B4E">
      <w:pPr>
        <w:spacing w:after="120"/>
        <w:jc w:val="both"/>
        <w:rPr>
          <w:b/>
          <w:bCs/>
          <w:sz w:val="24"/>
          <w:szCs w:val="24"/>
          <w:lang w:val="ru-RU"/>
        </w:rPr>
      </w:pPr>
      <w:r w:rsidRPr="008D0AD4">
        <w:rPr>
          <w:b/>
          <w:bCs/>
          <w:sz w:val="24"/>
          <w:szCs w:val="24"/>
          <w:lang w:val="ru-RU"/>
        </w:rPr>
        <w:t>Тема: Призыв организаций гражданского общества наложить вето на законопроект об «иностранных представителях»</w:t>
      </w:r>
    </w:p>
    <w:p w14:paraId="10F41411" w14:textId="77777777" w:rsidR="00F90A46" w:rsidRPr="008D0AD4" w:rsidRDefault="00F90A46" w:rsidP="00F90A46">
      <w:pPr>
        <w:jc w:val="both"/>
        <w:rPr>
          <w:color w:val="222222"/>
          <w:highlight w:val="white"/>
          <w:lang w:val="ru-RU"/>
        </w:rPr>
      </w:pPr>
    </w:p>
    <w:p w14:paraId="0000004A" w14:textId="473680B2" w:rsidR="00511F6C" w:rsidRPr="008D0AD4" w:rsidRDefault="00477434" w:rsidP="0008193E">
      <w:pPr>
        <w:spacing w:after="120"/>
        <w:jc w:val="both"/>
        <w:rPr>
          <w:color w:val="222222"/>
          <w:lang w:val="ru-RU"/>
        </w:rPr>
      </w:pPr>
      <w:r w:rsidRPr="008D0AD4">
        <w:rPr>
          <w:color w:val="222222"/>
          <w:highlight w:val="white"/>
          <w:lang w:val="ru-RU"/>
        </w:rPr>
        <w:t xml:space="preserve">Уважаемый </w:t>
      </w:r>
      <w:r w:rsidRPr="008D0AD4">
        <w:rPr>
          <w:color w:val="222222"/>
          <w:lang w:val="ru-RU"/>
        </w:rPr>
        <w:t>президент Жапаров!</w:t>
      </w:r>
    </w:p>
    <w:p w14:paraId="2542C35F" w14:textId="77777777" w:rsidR="00F90A46" w:rsidRPr="008D0AD4" w:rsidRDefault="00F90A46" w:rsidP="00F90A46">
      <w:pPr>
        <w:jc w:val="both"/>
        <w:rPr>
          <w:b/>
          <w:bCs/>
          <w:lang w:val="ru-RU"/>
        </w:rPr>
      </w:pPr>
      <w:bookmarkStart w:id="1" w:name="_Hlk161823300"/>
      <w:bookmarkStart w:id="2" w:name="_Hlk161821859"/>
    </w:p>
    <w:p w14:paraId="2B0E3916" w14:textId="5D9E9BB7" w:rsidR="00F90A46" w:rsidRPr="008D0AD4" w:rsidRDefault="00F90A46" w:rsidP="00F90A46">
      <w:pPr>
        <w:jc w:val="both"/>
        <w:rPr>
          <w:b/>
          <w:bCs/>
          <w:lang w:val="ru-RU"/>
        </w:rPr>
      </w:pPr>
      <w:r w:rsidRPr="008D0AD4">
        <w:rPr>
          <w:b/>
          <w:bCs/>
          <w:lang w:val="ru-RU"/>
        </w:rPr>
        <w:t xml:space="preserve">Мы, представители организаций гражданского общества из разных стран, обращаемся к Вам, чтобы выразить поддержку гражданскому обществу Кыргызстана и попросить Вас наложить вето на поправки к закону «О некоммерческих организациях», или так называемого закона об «иностранных представителях», который парламент </w:t>
      </w:r>
      <w:hyperlink r:id="rId5" w:history="1">
        <w:r w:rsidRPr="008D0AD4">
          <w:rPr>
            <w:rStyle w:val="Hyperlink"/>
            <w:b/>
            <w:bCs/>
            <w:u w:val="none"/>
            <w:lang w:val="ru-RU"/>
          </w:rPr>
          <w:t>принял</w:t>
        </w:r>
      </w:hyperlink>
      <w:r w:rsidRPr="008D0AD4">
        <w:rPr>
          <w:b/>
          <w:bCs/>
          <w:lang w:val="ru-RU"/>
        </w:rPr>
        <w:t xml:space="preserve"> в третьем чтении 14 марта 2024 г. </w:t>
      </w:r>
      <w:bookmarkEnd w:id="1"/>
      <w:r w:rsidRPr="008D0AD4">
        <w:rPr>
          <w:b/>
          <w:bCs/>
          <w:lang w:val="ru-RU"/>
        </w:rPr>
        <w:t xml:space="preserve">Предлагаемые поправки серьезно противоречат международным обязательствам Кыргызстана в области прав человека и могут нанести сокрушительный удар по сильному и активному гражданскому обществу страны. Данные поправки ограничат возможности гражданского общества осуществлять важную и законную деятельность в интересах населения Кыргызстана, а также содействовать участию общественности, прозрачности, подотчетности и эффективному управлению, что подорвет прогресс, достигнутый Кыргызстаном в области демократии и защиты прав человека, и негативно отразится на его международном имидже. Предложенные поправки создадут угрозу для реализации в стране программ международной помощи в области развития и экономической помощи, что также подорвет перспективы достижения целей устойчивого развития вопреки стремлениям Вашего правительства в этой области. Соответственно, мы призываем Вас наложить вето на предлагаемые поправки во благо Кыргызстана и его народа. </w:t>
      </w:r>
    </w:p>
    <w:bookmarkEnd w:id="2"/>
    <w:p w14:paraId="0000004C" w14:textId="77777777" w:rsidR="00511F6C" w:rsidRPr="008D0AD4" w:rsidRDefault="00477434">
      <w:pPr>
        <w:spacing w:before="240" w:after="240"/>
        <w:jc w:val="both"/>
        <w:rPr>
          <w:color w:val="333F49"/>
          <w:highlight w:val="white"/>
          <w:lang w:val="ru-RU"/>
        </w:rPr>
      </w:pPr>
      <w:r w:rsidRPr="008D0AD4">
        <w:rPr>
          <w:color w:val="333F49"/>
          <w:lang w:val="ru-RU"/>
        </w:rPr>
        <w:t xml:space="preserve">Национальные и международные эксперты по правам человека пришли </w:t>
      </w:r>
      <w:r w:rsidRPr="008D0AD4">
        <w:rPr>
          <w:color w:val="333F49"/>
          <w:highlight w:val="white"/>
          <w:lang w:val="ru-RU"/>
        </w:rPr>
        <w:t>к выводу, что проект закона об «иностранных представителях» явно нарушает международные обязательства Кыргызстана в области прав человека. Такие выво</w:t>
      </w:r>
      <w:r w:rsidRPr="008D0AD4">
        <w:rPr>
          <w:color w:val="333F49"/>
          <w:highlight w:val="white"/>
          <w:lang w:val="ru-RU"/>
        </w:rPr>
        <w:t>ды были представлены, к примеру, в</w:t>
      </w:r>
      <w:hyperlink r:id="rId6">
        <w:r w:rsidRPr="008D0AD4">
          <w:rPr>
            <w:color w:val="333F49"/>
            <w:highlight w:val="white"/>
            <w:lang w:val="ru-RU"/>
          </w:rPr>
          <w:t xml:space="preserve"> </w:t>
        </w:r>
      </w:hyperlink>
      <w:hyperlink r:id="rId7">
        <w:r w:rsidRPr="008D0AD4">
          <w:rPr>
            <w:color w:val="1155CC"/>
            <w:highlight w:val="white"/>
            <w:lang w:val="ru-RU"/>
          </w:rPr>
          <w:t>совмест</w:t>
        </w:r>
        <w:r w:rsidRPr="008D0AD4">
          <w:rPr>
            <w:color w:val="1155CC"/>
            <w:highlight w:val="white"/>
            <w:lang w:val="ru-RU"/>
          </w:rPr>
          <w:t>ном сообщении</w:t>
        </w:r>
      </w:hyperlink>
      <w:r w:rsidRPr="008D0AD4">
        <w:rPr>
          <w:color w:val="333F49"/>
          <w:highlight w:val="white"/>
          <w:lang w:val="ru-RU"/>
        </w:rPr>
        <w:t>, адресованном Вашему правительству тремя специальными докладчиками ООН, назначенными Советом по правам человека ООН, членом которого в настоящее время является Кыргызстан. Три докладчика заявили, что «многие положения предлагаемого закона буд</w:t>
      </w:r>
      <w:r w:rsidRPr="008D0AD4">
        <w:rPr>
          <w:color w:val="333F49"/>
          <w:highlight w:val="white"/>
          <w:lang w:val="ru-RU"/>
        </w:rPr>
        <w:t>ут противоречить международным обязательствам Кыргызской Республики в области прав человека, включая право на свободу объединений, право на свободу мнений и их выражения, право на отсутствие дискриминации и право на неприкосновенность частной жизни. Принят</w:t>
      </w:r>
      <w:r w:rsidRPr="008D0AD4">
        <w:rPr>
          <w:color w:val="333F49"/>
          <w:highlight w:val="white"/>
          <w:lang w:val="ru-RU"/>
        </w:rPr>
        <w:t>ие данного законопроекта может оказать негативное воздействие на деятельность всех объединений в Кыргызской Республике, ограничивая их возможности по защите прав человека, предоставлению социальных услуг и вкладу в развитие сильного и инклюзивного общества</w:t>
      </w:r>
      <w:r w:rsidRPr="008D0AD4">
        <w:rPr>
          <w:color w:val="333F49"/>
          <w:highlight w:val="white"/>
          <w:lang w:val="ru-RU"/>
        </w:rPr>
        <w:t xml:space="preserve">». </w:t>
      </w:r>
    </w:p>
    <w:p w14:paraId="0000004D" w14:textId="77777777" w:rsidR="00511F6C" w:rsidRPr="008D0AD4" w:rsidRDefault="00477434">
      <w:pPr>
        <w:spacing w:before="240" w:after="240"/>
        <w:jc w:val="both"/>
        <w:rPr>
          <w:color w:val="333F49"/>
          <w:highlight w:val="white"/>
          <w:lang w:val="ru-RU"/>
        </w:rPr>
      </w:pPr>
      <w:r w:rsidRPr="008D0AD4">
        <w:rPr>
          <w:color w:val="333F49"/>
          <w:highlight w:val="white"/>
          <w:lang w:val="ru-RU"/>
        </w:rPr>
        <w:t>В более ранней</w:t>
      </w:r>
      <w:hyperlink r:id="rId8">
        <w:r w:rsidRPr="008D0AD4">
          <w:rPr>
            <w:color w:val="333F49"/>
            <w:highlight w:val="white"/>
            <w:lang w:val="ru-RU"/>
          </w:rPr>
          <w:t xml:space="preserve"> </w:t>
        </w:r>
      </w:hyperlink>
      <w:hyperlink r:id="rId9">
        <w:r w:rsidRPr="008D0AD4">
          <w:rPr>
            <w:color w:val="1155CC"/>
            <w:highlight w:val="white"/>
            <w:lang w:val="ru-RU"/>
          </w:rPr>
          <w:t>правовой оценке</w:t>
        </w:r>
      </w:hyperlink>
      <w:r w:rsidRPr="008D0AD4">
        <w:rPr>
          <w:color w:val="333F49"/>
          <w:highlight w:val="white"/>
          <w:lang w:val="ru-RU"/>
        </w:rPr>
        <w:t xml:space="preserve"> подго</w:t>
      </w:r>
      <w:r w:rsidRPr="008D0AD4">
        <w:rPr>
          <w:color w:val="333F49"/>
          <w:highlight w:val="white"/>
          <w:lang w:val="ru-RU"/>
        </w:rPr>
        <w:t>товленной по просьбе омбудсмена Кыргызстана, Бюро по демократическим институтам и правам человека (БДИПЧ) ОБСЕ установило, что предлагаемые положения не имеют законного основания и не отвечают требованиям международного права по защите прав человека, предъ</w:t>
      </w:r>
      <w:r w:rsidRPr="008D0AD4">
        <w:rPr>
          <w:color w:val="333F49"/>
          <w:highlight w:val="white"/>
          <w:lang w:val="ru-RU"/>
        </w:rPr>
        <w:t>являемым к приемлемым ограничениям права на свободу объединений. БДИПЧ также подчеркнуло, что ключевые понятия «иностранные представители» и «политическая деятельность», используемые в законопроекте, не соответствуют принципу правовой определенности и пред</w:t>
      </w:r>
      <w:r w:rsidRPr="008D0AD4">
        <w:rPr>
          <w:color w:val="333F49"/>
          <w:highlight w:val="white"/>
          <w:lang w:val="ru-RU"/>
        </w:rPr>
        <w:t xml:space="preserve">сказуемости и </w:t>
      </w:r>
      <w:r w:rsidRPr="008D0AD4">
        <w:rPr>
          <w:color w:val="333F49"/>
          <w:highlight w:val="white"/>
          <w:lang w:val="ru-RU"/>
        </w:rPr>
        <w:lastRenderedPageBreak/>
        <w:t>«допускают неограниченное своевластие со стороны исполнительных органов». БДИПЧ также пришло к выводу, что предлагаемые положения противоречат принципу отсутствия дискриминации и могут подвергнуть стигматизации организации, ведущие законную д</w:t>
      </w:r>
      <w:r w:rsidRPr="008D0AD4">
        <w:rPr>
          <w:color w:val="333F49"/>
          <w:highlight w:val="white"/>
          <w:lang w:val="ru-RU"/>
        </w:rPr>
        <w:t>еятельность, и вызвать недоверие, страх и враждебность по отношению к ним.</w:t>
      </w:r>
    </w:p>
    <w:p w14:paraId="0000004F" w14:textId="28B8979F" w:rsidR="00511F6C" w:rsidRPr="008D0AD4" w:rsidRDefault="00477434">
      <w:pPr>
        <w:spacing w:before="240" w:after="240"/>
        <w:jc w:val="both"/>
        <w:rPr>
          <w:color w:val="333F49"/>
          <w:highlight w:val="white"/>
          <w:lang w:val="ru-RU"/>
        </w:rPr>
      </w:pPr>
      <w:r w:rsidRPr="008D0AD4">
        <w:rPr>
          <w:color w:val="333F49"/>
          <w:highlight w:val="white"/>
          <w:lang w:val="ru-RU"/>
        </w:rPr>
        <w:t xml:space="preserve">Законопроект об «иностранных представителях» противоречит не только международным обязательствам Вашей </w:t>
      </w:r>
      <w:r w:rsidR="00E57B4E" w:rsidRPr="008D0AD4">
        <w:rPr>
          <w:color w:val="333F49"/>
          <w:highlight w:val="white"/>
          <w:lang w:val="ru-RU"/>
        </w:rPr>
        <w:t>страны,</w:t>
      </w:r>
      <w:r w:rsidRPr="008D0AD4">
        <w:rPr>
          <w:color w:val="333F49"/>
          <w:highlight w:val="white"/>
          <w:lang w:val="ru-RU"/>
        </w:rPr>
        <w:t xml:space="preserve"> но и</w:t>
      </w:r>
      <w:r w:rsidRPr="008D0AD4">
        <w:rPr>
          <w:b/>
          <w:color w:val="333F49"/>
          <w:highlight w:val="white"/>
          <w:lang w:val="ru-RU"/>
        </w:rPr>
        <w:t xml:space="preserve"> </w:t>
      </w:r>
      <w:r w:rsidRPr="008D0AD4">
        <w:rPr>
          <w:color w:val="333F49"/>
          <w:highlight w:val="white"/>
          <w:lang w:val="ru-RU"/>
        </w:rPr>
        <w:t>положениям Конституции Кыргызской Республики (в том числе статьям</w:t>
      </w:r>
      <w:r w:rsidRPr="008D0AD4">
        <w:rPr>
          <w:color w:val="333F49"/>
          <w:highlight w:val="white"/>
          <w:lang w:val="ru-RU"/>
        </w:rPr>
        <w:t xml:space="preserve"> 36, 32, 24 и 29), защищающим право на свободу объединений и другие основные права. Таким образом, законопроект ставит под сомнение легитимность действующей Конституции, которая была инициирована Вами и одобрена гражданами на всенародном референдуме в 2021</w:t>
      </w:r>
      <w:r w:rsidRPr="008D0AD4">
        <w:rPr>
          <w:color w:val="333F49"/>
          <w:highlight w:val="white"/>
          <w:lang w:val="ru-RU"/>
        </w:rPr>
        <w:t xml:space="preserve"> году. </w:t>
      </w:r>
    </w:p>
    <w:p w14:paraId="00000050" w14:textId="77777777" w:rsidR="00511F6C" w:rsidRPr="008D0AD4" w:rsidRDefault="00477434">
      <w:pPr>
        <w:spacing w:before="240" w:after="240"/>
        <w:jc w:val="both"/>
        <w:rPr>
          <w:color w:val="333F49"/>
          <w:highlight w:val="white"/>
          <w:lang w:val="ru-RU"/>
        </w:rPr>
      </w:pPr>
      <w:r w:rsidRPr="008D0AD4">
        <w:rPr>
          <w:color w:val="333F49"/>
          <w:highlight w:val="white"/>
          <w:lang w:val="ru-RU"/>
        </w:rPr>
        <w:t xml:space="preserve">Сторонники проекта закона об «иностранных представителях» утверждают, что он направлен на обеспечение прозрачности деятельности организаций гражданского общества (ОГО). Однако несмотря на то, что прозрачность является важным аспектом, она не может </w:t>
      </w:r>
      <w:r w:rsidRPr="008D0AD4">
        <w:rPr>
          <w:color w:val="333F49"/>
          <w:highlight w:val="white"/>
          <w:lang w:val="ru-RU"/>
        </w:rPr>
        <w:t>служить законной причиной для введения инвазивных, дискриминационных и стигматизирующих ограничений в отношении ОГО в соответствии с международными стандартами по защите прав человека. Напротив, прозрачность может быть обеспечена способами, которые не прот</w:t>
      </w:r>
      <w:r w:rsidRPr="008D0AD4">
        <w:rPr>
          <w:color w:val="333F49"/>
          <w:highlight w:val="white"/>
          <w:lang w:val="ru-RU"/>
        </w:rPr>
        <w:t>иворечат международному праву и не препятствуют работе ОГО. Кроме того, все некоммерческие организации в Кыргызстане, в том числе те, которые получают иностранное финансирование, уже подвергаются тщательному государственному контролю и регулярно отчитывают</w:t>
      </w:r>
      <w:r w:rsidRPr="008D0AD4">
        <w:rPr>
          <w:color w:val="333F49"/>
          <w:highlight w:val="white"/>
          <w:lang w:val="ru-RU"/>
        </w:rPr>
        <w:t xml:space="preserve">ся о своей деятельности и финансах перед различными государственными органами, что обеспечивает прозрачность их деятельности. В частности, принятые в 2021 году поправки к закону «О некоммерческих организациях» обязывают некоммерческие организации ежегодно </w:t>
      </w:r>
      <w:r w:rsidRPr="008D0AD4">
        <w:rPr>
          <w:color w:val="333F49"/>
          <w:highlight w:val="white"/>
          <w:lang w:val="ru-RU"/>
        </w:rPr>
        <w:t xml:space="preserve">предоставлять подробную информацию об источниках финансирования, использовании средств и имущества для публикации на веб-сайте налоговой службы. Таким образом, эта информация уже находится в открытом доступе. </w:t>
      </w:r>
    </w:p>
    <w:p w14:paraId="00000051" w14:textId="77777777" w:rsidR="00511F6C" w:rsidRPr="008D0AD4" w:rsidRDefault="00477434">
      <w:pPr>
        <w:spacing w:before="240" w:after="240"/>
        <w:jc w:val="both"/>
        <w:rPr>
          <w:color w:val="222222"/>
          <w:highlight w:val="white"/>
          <w:lang w:val="ru-RU"/>
        </w:rPr>
      </w:pPr>
      <w:r w:rsidRPr="008D0AD4">
        <w:rPr>
          <w:color w:val="333F49"/>
          <w:highlight w:val="white"/>
          <w:lang w:val="ru-RU"/>
        </w:rPr>
        <w:t xml:space="preserve">Вместо повышения прозрачности некоммерческих </w:t>
      </w:r>
      <w:r w:rsidRPr="008D0AD4">
        <w:rPr>
          <w:color w:val="333F49"/>
          <w:highlight w:val="white"/>
          <w:lang w:val="ru-RU"/>
        </w:rPr>
        <w:t>организаций законопроект рискует подорвать важнейшую роль гражданского общества в оказании помощи государственным органам в поддержке уязвимых групп населения, а также в обеспечении прозрачности и подотчетности государственного сектора. Наблюдательные орга</w:t>
      </w:r>
      <w:r w:rsidRPr="008D0AD4">
        <w:rPr>
          <w:color w:val="333F49"/>
          <w:highlight w:val="white"/>
          <w:lang w:val="ru-RU"/>
        </w:rPr>
        <w:t>низации уже</w:t>
      </w:r>
      <w:hyperlink r:id="rId10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11">
        <w:r w:rsidRPr="008D0AD4">
          <w:rPr>
            <w:color w:val="1155CC"/>
            <w:highlight w:val="white"/>
            <w:lang w:val="ru-RU"/>
          </w:rPr>
          <w:t>предупредили</w:t>
        </w:r>
      </w:hyperlink>
      <w:r w:rsidRPr="008D0AD4">
        <w:rPr>
          <w:color w:val="222222"/>
          <w:highlight w:val="white"/>
          <w:lang w:val="ru-RU"/>
        </w:rPr>
        <w:t xml:space="preserve"> </w:t>
      </w:r>
      <w:r w:rsidRPr="008D0AD4">
        <w:rPr>
          <w:color w:val="333F49"/>
          <w:highlight w:val="white"/>
          <w:lang w:val="ru-RU"/>
        </w:rPr>
        <w:t>о значительном снижении прозрачности правительства Кыргызстана, что препятствует выявлению правонарушений и повышает риск коррупции. Эта тенденция негативно сказывается на иност</w:t>
      </w:r>
      <w:r w:rsidRPr="008D0AD4">
        <w:rPr>
          <w:color w:val="333F49"/>
          <w:highlight w:val="white"/>
          <w:lang w:val="ru-RU"/>
        </w:rPr>
        <w:t>ранных инвестициях, а также на экономическом росте и благосостоянии страны.</w:t>
      </w:r>
      <w:r w:rsidRPr="008D0AD4">
        <w:rPr>
          <w:color w:val="222222"/>
          <w:highlight w:val="white"/>
          <w:lang w:val="ru-RU"/>
        </w:rPr>
        <w:t xml:space="preserve"> </w:t>
      </w:r>
    </w:p>
    <w:p w14:paraId="00000052" w14:textId="77777777" w:rsidR="00511F6C" w:rsidRPr="008D0AD4" w:rsidRDefault="00477434">
      <w:pPr>
        <w:spacing w:before="240" w:after="240"/>
        <w:jc w:val="both"/>
        <w:rPr>
          <w:color w:val="222222"/>
          <w:highlight w:val="white"/>
          <w:lang w:val="ru-RU"/>
        </w:rPr>
      </w:pPr>
      <w:r w:rsidRPr="008D0AD4">
        <w:rPr>
          <w:color w:val="222222"/>
          <w:highlight w:val="white"/>
          <w:lang w:val="ru-RU"/>
        </w:rPr>
        <w:t>Международные партнеры Кыргызстана предупредили, что принятие закона об «иностранных представителях» негативно скажется на программах помощи развитию страны. Например, в</w:t>
      </w:r>
      <w:hyperlink r:id="rId12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13">
        <w:r w:rsidRPr="008D0AD4">
          <w:rPr>
            <w:color w:val="1155CC"/>
            <w:highlight w:val="white"/>
            <w:lang w:val="ru-RU"/>
          </w:rPr>
          <w:t>совместном заявлении</w:t>
        </w:r>
      </w:hyperlink>
      <w:r w:rsidRPr="008D0AD4">
        <w:rPr>
          <w:color w:val="222222"/>
          <w:highlight w:val="white"/>
          <w:lang w:val="ru-RU"/>
        </w:rPr>
        <w:t xml:space="preserve"> опубликованном 14 марта 2024 г., представительство ЕС в Кыргызской Рес</w:t>
      </w:r>
      <w:r w:rsidRPr="008D0AD4">
        <w:rPr>
          <w:color w:val="222222"/>
          <w:highlight w:val="white"/>
          <w:lang w:val="ru-RU"/>
        </w:rPr>
        <w:t>публике и посольства Канады, Франции, Германии, Великобритании и США заявили, что предлагаемые положения «ставят под угрозу нашу</w:t>
      </w:r>
      <w:r w:rsidRPr="008D0AD4">
        <w:rPr>
          <w:b/>
          <w:color w:val="222222"/>
          <w:highlight w:val="white"/>
          <w:lang w:val="ru-RU"/>
        </w:rPr>
        <w:t xml:space="preserve"> </w:t>
      </w:r>
      <w:r w:rsidRPr="008D0AD4">
        <w:rPr>
          <w:color w:val="222222"/>
          <w:highlight w:val="white"/>
          <w:lang w:val="ru-RU"/>
        </w:rPr>
        <w:t>способность оказывать помощь,  направленную на улучшение жизни граждан и жителей Кыргызской Республики.» Они заявили, что, если</w:t>
      </w:r>
      <w:r w:rsidRPr="008D0AD4">
        <w:rPr>
          <w:color w:val="222222"/>
          <w:highlight w:val="white"/>
          <w:lang w:val="ru-RU"/>
        </w:rPr>
        <w:t xml:space="preserve"> закон будет подписан в его нынешнем виде, он «может нанести вред наиболее уязвимым слоям населения, которые нуждаются в таких базовых услугах как питание, здравоохранение и образование, которые предоставляют некоммерческие и неправительственные организаци</w:t>
      </w:r>
      <w:r w:rsidRPr="008D0AD4">
        <w:rPr>
          <w:color w:val="222222"/>
          <w:highlight w:val="white"/>
          <w:lang w:val="ru-RU"/>
        </w:rPr>
        <w:t>и». Постоянный координатор ООН в Кыргызской Республике</w:t>
      </w:r>
      <w:hyperlink r:id="rId14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15">
        <w:r w:rsidRPr="008D0AD4">
          <w:rPr>
            <w:color w:val="1155CC"/>
            <w:highlight w:val="white"/>
            <w:lang w:val="ru-RU"/>
          </w:rPr>
          <w:t>отметил</w:t>
        </w:r>
      </w:hyperlink>
      <w:r w:rsidRPr="008D0AD4">
        <w:rPr>
          <w:color w:val="222222"/>
          <w:highlight w:val="white"/>
          <w:lang w:val="ru-RU"/>
        </w:rPr>
        <w:t>, что принятие закона создает проблемы для участия гражданского общества в инициативах по развитию и достижению целей устойчивого развития ООН (ЦУР). Таким обра</w:t>
      </w:r>
      <w:r w:rsidRPr="008D0AD4">
        <w:rPr>
          <w:color w:val="222222"/>
          <w:highlight w:val="white"/>
          <w:lang w:val="ru-RU"/>
        </w:rPr>
        <w:t>зом, закон противоречит</w:t>
      </w:r>
      <w:hyperlink r:id="rId16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17">
        <w:r w:rsidRPr="008D0AD4">
          <w:rPr>
            <w:color w:val="1155CC"/>
            <w:highlight w:val="white"/>
            <w:lang w:val="ru-RU"/>
          </w:rPr>
          <w:t>задаче правительства войти в число 30 лучших стран</w:t>
        </w:r>
      </w:hyperlink>
      <w:r w:rsidRPr="008D0AD4">
        <w:rPr>
          <w:color w:val="222222"/>
          <w:highlight w:val="white"/>
          <w:lang w:val="ru-RU"/>
        </w:rPr>
        <w:t xml:space="preserve"> по реализации ЦУР к 2030 году. </w:t>
      </w:r>
    </w:p>
    <w:p w14:paraId="00000053" w14:textId="77777777" w:rsidR="00511F6C" w:rsidRPr="008D0AD4" w:rsidRDefault="00477434">
      <w:pPr>
        <w:spacing w:before="240" w:after="240"/>
        <w:jc w:val="both"/>
        <w:rPr>
          <w:color w:val="222222"/>
          <w:highlight w:val="white"/>
          <w:lang w:val="ru-RU"/>
        </w:rPr>
      </w:pPr>
      <w:hyperlink r:id="rId18">
        <w:r w:rsidRPr="008D0AD4">
          <w:rPr>
            <w:color w:val="1155CC"/>
            <w:highlight w:val="white"/>
            <w:lang w:val="ru-RU"/>
          </w:rPr>
          <w:t>Всемирный банк</w:t>
        </w:r>
      </w:hyperlink>
      <w:r w:rsidRPr="008D0AD4">
        <w:rPr>
          <w:color w:val="222222"/>
          <w:highlight w:val="white"/>
          <w:lang w:val="ru-RU"/>
        </w:rPr>
        <w:t xml:space="preserve"> и</w:t>
      </w:r>
      <w:hyperlink r:id="rId19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20">
        <w:r w:rsidRPr="008D0AD4">
          <w:rPr>
            <w:color w:val="1155CC"/>
            <w:highlight w:val="white"/>
            <w:lang w:val="ru-RU"/>
          </w:rPr>
          <w:t>Европейский банк реконструкции</w:t>
        </w:r>
        <w:r w:rsidRPr="008D0AD4">
          <w:rPr>
            <w:color w:val="1155CC"/>
            <w:highlight w:val="white"/>
            <w:lang w:val="ru-RU"/>
          </w:rPr>
          <w:t xml:space="preserve"> и развития</w:t>
        </w:r>
      </w:hyperlink>
      <w:r w:rsidRPr="008D0AD4">
        <w:rPr>
          <w:color w:val="222222"/>
          <w:highlight w:val="white"/>
          <w:lang w:val="ru-RU"/>
        </w:rPr>
        <w:t xml:space="preserve"> также подчеркнули важность, которую они придают взаимодействию с ОГО для успешной работы в стране в своих комментариях относительно обеспокоенности НПО по поводу потенциального влияния законопроекта на деятельность международных финансовых инст</w:t>
      </w:r>
      <w:r w:rsidRPr="008D0AD4">
        <w:rPr>
          <w:color w:val="222222"/>
          <w:highlight w:val="white"/>
          <w:lang w:val="ru-RU"/>
        </w:rPr>
        <w:t>итутов в Кыргызстане.</w:t>
      </w:r>
    </w:p>
    <w:p w14:paraId="00000055" w14:textId="0895E907" w:rsidR="00511F6C" w:rsidRPr="008D0AD4" w:rsidRDefault="00477434">
      <w:pPr>
        <w:spacing w:before="240" w:after="240"/>
        <w:jc w:val="both"/>
        <w:rPr>
          <w:color w:val="222222"/>
          <w:highlight w:val="white"/>
          <w:lang w:val="ru-RU"/>
        </w:rPr>
      </w:pPr>
      <w:r w:rsidRPr="008D0AD4">
        <w:rPr>
          <w:color w:val="222222"/>
          <w:highlight w:val="white"/>
          <w:lang w:val="ru-RU"/>
        </w:rPr>
        <w:t>Как Вам известно, Кыргызская Республика, будучи бенефициаром Всеобщей системы преференций плюс (ВСП+), обязана эффективно выполнять</w:t>
      </w:r>
      <w:hyperlink r:id="rId21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22">
        <w:r w:rsidRPr="008D0AD4">
          <w:rPr>
            <w:color w:val="1155CC"/>
            <w:highlight w:val="white"/>
            <w:lang w:val="ru-RU"/>
          </w:rPr>
          <w:t>межд</w:t>
        </w:r>
        <w:r w:rsidRPr="008D0AD4">
          <w:rPr>
            <w:color w:val="1155CC"/>
            <w:highlight w:val="white"/>
            <w:lang w:val="ru-RU"/>
          </w:rPr>
          <w:t>ународные конвенции по правам человека</w:t>
        </w:r>
      </w:hyperlink>
      <w:r w:rsidRPr="008D0AD4">
        <w:rPr>
          <w:color w:val="222222"/>
          <w:highlight w:val="white"/>
          <w:lang w:val="ru-RU"/>
        </w:rPr>
        <w:t>, включая Международный пакт о гражданских и политических правах (МПГПП), в обмен на торговые преференции, предоставляемые ЕС. Таким образом, следует ожидать, что принятие и применение закона об «иностранных представит</w:t>
      </w:r>
      <w:r w:rsidRPr="008D0AD4">
        <w:rPr>
          <w:color w:val="222222"/>
          <w:highlight w:val="white"/>
          <w:lang w:val="ru-RU"/>
        </w:rPr>
        <w:t>елях» отрицательно скажется на этих преференциях. В недавнем</w:t>
      </w:r>
      <w:hyperlink r:id="rId23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24">
        <w:r w:rsidRPr="008D0AD4">
          <w:rPr>
            <w:color w:val="1155CC"/>
            <w:highlight w:val="white"/>
            <w:lang w:val="ru-RU"/>
          </w:rPr>
          <w:t>мониторинговом отчете</w:t>
        </w:r>
      </w:hyperlink>
      <w:r w:rsidRPr="008D0AD4">
        <w:rPr>
          <w:color w:val="222222"/>
          <w:highlight w:val="white"/>
          <w:lang w:val="ru-RU"/>
        </w:rPr>
        <w:t xml:space="preserve"> Европейской комиссии о ВСП+ по Республике Кыргызстан сокращение пространства для гражданского общества было отмечено как одна из клю</w:t>
      </w:r>
      <w:r w:rsidRPr="008D0AD4">
        <w:rPr>
          <w:color w:val="222222"/>
          <w:highlight w:val="white"/>
          <w:lang w:val="ru-RU"/>
        </w:rPr>
        <w:t>чевых проблем, вызывающих озабоченность. Европейская комиссия призвала к оперативным мерам по изменению этой негативной тенденции в свете обязательств страны по МПГПП. Кроме того, в своей</w:t>
      </w:r>
      <w:hyperlink r:id="rId25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26">
        <w:r w:rsidRPr="008D0AD4">
          <w:rPr>
            <w:color w:val="1155CC"/>
            <w:highlight w:val="white"/>
            <w:lang w:val="ru-RU"/>
          </w:rPr>
          <w:t>резолюции</w:t>
        </w:r>
      </w:hyperlink>
      <w:r w:rsidRPr="008D0AD4">
        <w:rPr>
          <w:color w:val="222222"/>
          <w:highlight w:val="white"/>
          <w:lang w:val="ru-RU"/>
        </w:rPr>
        <w:t>, принятой в июле 2023 года, Европейский парламент призвал к переоценке льгот ВСП+ для Кыргызстана в связи с последними событиями, в частно</w:t>
      </w:r>
      <w:r w:rsidRPr="008D0AD4">
        <w:rPr>
          <w:color w:val="222222"/>
          <w:highlight w:val="white"/>
          <w:lang w:val="ru-RU"/>
        </w:rPr>
        <w:t xml:space="preserve">сти, законопроектами, которые противоречат международным обязательствам страны в области прав человека. </w:t>
      </w:r>
    </w:p>
    <w:p w14:paraId="00000056" w14:textId="77777777" w:rsidR="00511F6C" w:rsidRPr="008D0AD4" w:rsidRDefault="00477434">
      <w:pPr>
        <w:spacing w:before="240" w:after="240"/>
        <w:jc w:val="both"/>
        <w:rPr>
          <w:color w:val="222222"/>
          <w:lang w:val="ru-RU"/>
        </w:rPr>
      </w:pPr>
      <w:r w:rsidRPr="008D0AD4">
        <w:rPr>
          <w:color w:val="222222"/>
          <w:highlight w:val="white"/>
          <w:lang w:val="ru-RU"/>
        </w:rPr>
        <w:t>Мы осведомлены, что сторонники законопроекта об «иностранных представителях» утверждают его сходство с законом США о регистрации иностранных агентов (F</w:t>
      </w:r>
      <w:r w:rsidRPr="008D0AD4">
        <w:rPr>
          <w:color w:val="222222"/>
          <w:highlight w:val="white"/>
          <w:lang w:val="ru-RU"/>
        </w:rPr>
        <w:t>oreign Agent Registration Act, FARA). Тем не менее, FARA отличается от предложенного в Кыргызстане законодательства в ряде ключевых аспектов. В частности, FARA не направлен против некоммерческих организаций, получающих иностранное финансирование. Вместо эт</w:t>
      </w:r>
      <w:r w:rsidRPr="008D0AD4">
        <w:rPr>
          <w:color w:val="222222"/>
          <w:highlight w:val="white"/>
          <w:lang w:val="ru-RU"/>
        </w:rPr>
        <w:t>ого FARA</w:t>
      </w:r>
      <w:hyperlink r:id="rId27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28">
        <w:r w:rsidRPr="008D0AD4">
          <w:rPr>
            <w:color w:val="1155CC"/>
            <w:highlight w:val="white"/>
            <w:lang w:val="ru-RU"/>
          </w:rPr>
          <w:t>требует,</w:t>
        </w:r>
      </w:hyperlink>
      <w:hyperlink r:id="rId29">
        <w:r w:rsidRPr="008D0AD4">
          <w:rPr>
            <w:color w:val="1155CC"/>
            <w:highlight w:val="white"/>
            <w:lang w:val="ru-RU"/>
          </w:rPr>
          <w:t xml:space="preserve"> чтобы</w:t>
        </w:r>
      </w:hyperlink>
      <w:r w:rsidRPr="008D0AD4">
        <w:rPr>
          <w:color w:val="222222"/>
          <w:highlight w:val="white"/>
          <w:lang w:val="ru-RU"/>
        </w:rPr>
        <w:t xml:space="preserve"> лица, осуществляющи</w:t>
      </w:r>
      <w:r w:rsidRPr="008D0AD4">
        <w:rPr>
          <w:color w:val="222222"/>
          <w:highlight w:val="white"/>
          <w:lang w:val="ru-RU"/>
        </w:rPr>
        <w:t>е определенную деятельность «по приказу» или «под руководством или контролем» иностранного правительства или другой иностранной организации, были зарегистрированы в качестве «агента иностранного принципала» и периодически предоставляли информацию о своей д</w:t>
      </w:r>
      <w:r w:rsidRPr="008D0AD4">
        <w:rPr>
          <w:color w:val="222222"/>
          <w:highlight w:val="white"/>
          <w:lang w:val="ru-RU"/>
        </w:rPr>
        <w:t>еятельности в этом качестве. Цель FARA заключается в</w:t>
      </w:r>
      <w:hyperlink r:id="rId30">
        <w:r w:rsidRPr="008D0AD4">
          <w:rPr>
            <w:color w:val="222222"/>
            <w:highlight w:val="white"/>
            <w:lang w:val="ru-RU"/>
          </w:rPr>
          <w:t xml:space="preserve"> </w:t>
        </w:r>
      </w:hyperlink>
      <w:hyperlink r:id="rId31">
        <w:r w:rsidRPr="008D0AD4">
          <w:rPr>
            <w:color w:val="1155CC"/>
            <w:highlight w:val="white"/>
            <w:lang w:val="ru-RU"/>
          </w:rPr>
          <w:t>обесп</w:t>
        </w:r>
        <w:r w:rsidRPr="008D0AD4">
          <w:rPr>
            <w:color w:val="1155CC"/>
            <w:highlight w:val="white"/>
            <w:lang w:val="ru-RU"/>
          </w:rPr>
          <w:t>ечении</w:t>
        </w:r>
      </w:hyperlink>
      <w:r w:rsidRPr="008D0AD4">
        <w:rPr>
          <w:color w:val="222222"/>
          <w:highlight w:val="white"/>
          <w:lang w:val="ru-RU"/>
        </w:rPr>
        <w:t xml:space="preserve"> публичного раскрытия такой информации, а он не подвергает зарегистрированных лиц </w:t>
      </w:r>
      <w:r w:rsidRPr="008D0AD4">
        <w:rPr>
          <w:color w:val="222222"/>
          <w:lang w:val="ru-RU"/>
        </w:rPr>
        <w:t xml:space="preserve">постоянному, инвазивному государственному контролю. </w:t>
      </w:r>
    </w:p>
    <w:p w14:paraId="1E06F057" w14:textId="77777777" w:rsidR="00F90A46" w:rsidRPr="008D0AD4" w:rsidRDefault="00F90A46" w:rsidP="00F90A46">
      <w:pPr>
        <w:jc w:val="both"/>
        <w:rPr>
          <w:rFonts w:cstheme="minorHAnsi"/>
          <w:b/>
          <w:bCs/>
          <w:lang w:val="en-GB"/>
        </w:rPr>
      </w:pPr>
      <w:r w:rsidRPr="008D0AD4">
        <w:rPr>
          <w:rFonts w:cstheme="minorHAnsi"/>
          <w:b/>
          <w:bCs/>
          <w:lang w:val="ru-RU"/>
        </w:rPr>
        <w:t xml:space="preserve">Президент Жапаров, рассматривая вопрос о подписании законопроекта об «иностранных представителях», Вы решаете судьбу гражданского общества в Кыргызстане. Пойдете ли Вы по пути авторитарных стран, где аналогичное законодательство было использовано в рамках кампаниях по систематическому уничтожению независимого гражданского общества, что привело к негативным последствиям для репутации, процветания и благополучия этих стран? Или же предпочтете более перспективный, инклюзивный и демократически ориентированный подход, при котором ОГО рассматриваются как важные, уважаемые партнеры, способные сотрудничать с государственными органами для решения общественных проблем, а международные партнеры сохраняют уверенность в приверженности Кыргызстана целям устойчивого развития? </w:t>
      </w:r>
    </w:p>
    <w:p w14:paraId="623B7CC8" w14:textId="77777777" w:rsidR="00F90A46" w:rsidRPr="008D0AD4" w:rsidRDefault="00F90A46" w:rsidP="00F90A46">
      <w:pPr>
        <w:jc w:val="both"/>
        <w:rPr>
          <w:rFonts w:cstheme="minorHAnsi"/>
          <w:b/>
          <w:bCs/>
          <w:lang w:val="en-GB"/>
        </w:rPr>
      </w:pPr>
    </w:p>
    <w:p w14:paraId="0895AABE" w14:textId="77777777" w:rsidR="00F90A46" w:rsidRPr="008D0AD4" w:rsidRDefault="00F90A46" w:rsidP="00F90A46">
      <w:pPr>
        <w:jc w:val="both"/>
        <w:rPr>
          <w:rFonts w:cstheme="minorHAnsi"/>
          <w:b/>
          <w:bCs/>
          <w:lang w:val="ru-RU"/>
        </w:rPr>
      </w:pPr>
      <w:r w:rsidRPr="008D0AD4">
        <w:rPr>
          <w:rFonts w:cstheme="minorHAnsi"/>
          <w:b/>
          <w:bCs/>
          <w:lang w:val="ru-RU"/>
        </w:rPr>
        <w:t xml:space="preserve">Исходя из вышеизложенного, мы призываем Вас воздержаться от подписания законопроекта об «иностранных представителях» и обеспечить, чтобы любое новое законодательство, затрагивающее некоммерческие организации, отражало международные обязательства Кыргызстана в области прав человека, и проходило процесс тщательных и всесторонних консультаций с гражданским обществом, и также с национальными и международными экспертами. При разработке такого рода законодательства крайне важно учесть мнение ОГО, на которое оно непосредственно повлияет. </w:t>
      </w:r>
    </w:p>
    <w:p w14:paraId="35169D19" w14:textId="77777777" w:rsidR="0008193E" w:rsidRPr="008D0AD4" w:rsidRDefault="0008193E">
      <w:pPr>
        <w:spacing w:before="240" w:after="240"/>
        <w:jc w:val="both"/>
        <w:rPr>
          <w:color w:val="222222"/>
          <w:highlight w:val="white"/>
          <w:lang w:val="en-GB"/>
        </w:rPr>
      </w:pPr>
    </w:p>
    <w:p w14:paraId="00000059" w14:textId="6155D699" w:rsidR="00511F6C" w:rsidRPr="008D0AD4" w:rsidRDefault="00477434">
      <w:pPr>
        <w:spacing w:before="240" w:after="240"/>
        <w:jc w:val="both"/>
        <w:rPr>
          <w:color w:val="222222"/>
          <w:highlight w:val="white"/>
          <w:lang w:val="ru-RU"/>
        </w:rPr>
      </w:pPr>
      <w:r w:rsidRPr="008D0AD4">
        <w:rPr>
          <w:color w:val="222222"/>
          <w:highlight w:val="white"/>
          <w:lang w:val="ru-RU"/>
        </w:rPr>
        <w:t>Благодарим Вас за внимание к вопросам, поднятым в этом письме.</w:t>
      </w:r>
    </w:p>
    <w:p w14:paraId="0000005A" w14:textId="4654CD30" w:rsidR="00511F6C" w:rsidRPr="008D0AD4" w:rsidRDefault="00477434" w:rsidP="007E0D30">
      <w:pPr>
        <w:spacing w:before="360" w:after="240"/>
        <w:jc w:val="both"/>
        <w:rPr>
          <w:color w:val="222222"/>
          <w:highlight w:val="white"/>
          <w:lang w:val="ru-RU"/>
        </w:rPr>
      </w:pPr>
      <w:r w:rsidRPr="008D0AD4">
        <w:rPr>
          <w:color w:val="222222"/>
          <w:highlight w:val="white"/>
          <w:lang w:val="ru-RU"/>
        </w:rPr>
        <w:t>С уважением,</w:t>
      </w:r>
    </w:p>
    <w:p w14:paraId="12513E9D" w14:textId="3745AA46" w:rsidR="00F90A46" w:rsidRPr="008D0AD4" w:rsidRDefault="00F90A46" w:rsidP="0008193E">
      <w:pPr>
        <w:spacing w:before="240"/>
        <w:jc w:val="both"/>
        <w:rPr>
          <w:rFonts w:cstheme="minorHAnsi"/>
          <w:b/>
          <w:bCs/>
          <w:lang w:val="ru-RU"/>
        </w:rPr>
      </w:pPr>
      <w:r w:rsidRPr="008D0AD4">
        <w:rPr>
          <w:rFonts w:cstheme="minorHAnsi"/>
          <w:b/>
          <w:bCs/>
          <w:lang w:val="ru-RU"/>
        </w:rPr>
        <w:t>Подписано следующими организациями (организации перечислены в порядке подписания):</w:t>
      </w:r>
    </w:p>
    <w:p w14:paraId="51DBCDC6" w14:textId="77777777" w:rsidR="00F90A46" w:rsidRPr="008D0AD4" w:rsidRDefault="00F90A46" w:rsidP="00F90A46">
      <w:pPr>
        <w:rPr>
          <w:rFonts w:cstheme="minorHAnsi"/>
          <w:lang w:val="ru-RU"/>
        </w:rPr>
      </w:pPr>
    </w:p>
    <w:p w14:paraId="7871FC5E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Международное партнерство за права человека (Бельгия)</w:t>
      </w:r>
    </w:p>
    <w:p w14:paraId="47EBA160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Организация Ассоциация женщин – вынужденно-перемещенных лиц «Согласие» (Грузия)</w:t>
      </w:r>
    </w:p>
    <w:p w14:paraId="359ACA33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Норвежский Хельсинкский комитет</w:t>
      </w:r>
    </w:p>
    <w:p w14:paraId="0E4BD6B4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Венгерский Хельсинкский комитет</w:t>
      </w:r>
    </w:p>
    <w:p w14:paraId="0E787882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Центр исследований правовой политики (Казахстан)</w:t>
      </w:r>
    </w:p>
    <w:p w14:paraId="3EB3C0C9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Общественное объединение «Достоинство» (Казахстан)</w:t>
      </w:r>
    </w:p>
    <w:p w14:paraId="10F7A348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Нидерландский Хельсинкский комитет</w:t>
      </w:r>
    </w:p>
    <w:p w14:paraId="073FC6D8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Civil Rights Defenders (Швеция)</w:t>
      </w:r>
    </w:p>
    <w:p w14:paraId="34BBFD19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Защита прав без границ (Армения)</w:t>
      </w:r>
    </w:p>
    <w:p w14:paraId="2AE97D80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Шведская сеть ОБСЕ </w:t>
      </w:r>
    </w:p>
    <w:p w14:paraId="5A807409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Хельсинкская гражданская ассамблея-Ванадзор (Армения)</w:t>
      </w:r>
    </w:p>
    <w:p w14:paraId="0CF063A0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Центр гражданских свобод (Украина)</w:t>
      </w:r>
    </w:p>
    <w:p w14:paraId="7D2AA93E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Общественный вердикт (Россия)</w:t>
      </w:r>
    </w:p>
    <w:p w14:paraId="68ABB199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 xml:space="preserve">Туркменский Хельсинкский Фонд (Болгария) </w:t>
      </w:r>
    </w:p>
    <w:p w14:paraId="1DC92103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Crude Accountability (США)</w:t>
      </w:r>
    </w:p>
    <w:p w14:paraId="48042F2E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Freedom Files (Польша)</w:t>
      </w:r>
    </w:p>
    <w:p w14:paraId="6392CF4D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Правозащитный центр «Вясна» (Беларусь)</w:t>
      </w:r>
    </w:p>
    <w:p w14:paraId="1227A3C7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Центр участия и развития (Грузия)</w:t>
      </w:r>
    </w:p>
    <w:p w14:paraId="15C2C4DD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Центр защиты прав человека «Мемориал» (Россия)</w:t>
      </w:r>
    </w:p>
    <w:p w14:paraId="6C071545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Комитет «Гражданское содействие» (Россия)</w:t>
      </w:r>
    </w:p>
    <w:p w14:paraId="66C7E0BD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Австрийская Хельсинкская Ассоциация</w:t>
      </w:r>
    </w:p>
    <w:p w14:paraId="1D05A96D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Болгарский Хельсинкский комитет</w:t>
      </w:r>
    </w:p>
    <w:p w14:paraId="7D416A40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Центр прав человека (Грузия)</w:t>
      </w:r>
    </w:p>
    <w:p w14:paraId="5196072B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Македонский Хельсинкский комитет</w:t>
      </w:r>
    </w:p>
    <w:p w14:paraId="039DE872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Центр «СОВА» (Россия)</w:t>
      </w:r>
    </w:p>
    <w:p w14:paraId="5BEB1F80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Ассоциация Promo LEX (Молдова)</w:t>
      </w:r>
    </w:p>
    <w:p w14:paraId="66245348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Хельсинкский фонд по правам человека (Польша)</w:t>
      </w:r>
    </w:p>
    <w:p w14:paraId="1A9BCC92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Международная федерация за права человека (</w:t>
      </w:r>
      <w:r w:rsidRPr="008D0AD4">
        <w:rPr>
          <w:rFonts w:cstheme="minorHAnsi"/>
        </w:rPr>
        <w:t>FIDH</w:t>
      </w:r>
      <w:r w:rsidRPr="008D0AD4">
        <w:rPr>
          <w:rFonts w:cstheme="minorHAnsi"/>
          <w:lang w:val="ru-RU"/>
        </w:rPr>
        <w:t xml:space="preserve">) в рамках Обсерватории по защите правозащитников </w:t>
      </w:r>
    </w:p>
    <w:p w14:paraId="6603C797" w14:textId="77777777" w:rsidR="00F90A46" w:rsidRPr="008D0AD4" w:rsidRDefault="00F90A46" w:rsidP="00F90A46">
      <w:pPr>
        <w:rPr>
          <w:rFonts w:cstheme="minorHAnsi"/>
          <w:lang w:val="ru-RU"/>
        </w:rPr>
      </w:pPr>
      <w:r w:rsidRPr="008D0AD4">
        <w:rPr>
          <w:rFonts w:cstheme="minorHAnsi"/>
          <w:lang w:val="ru-RU"/>
        </w:rPr>
        <w:t>Всемирная организация против пыток (</w:t>
      </w:r>
      <w:r w:rsidRPr="008D0AD4">
        <w:rPr>
          <w:rFonts w:cstheme="minorHAnsi"/>
        </w:rPr>
        <w:t>OMCT</w:t>
      </w:r>
      <w:r w:rsidRPr="008D0AD4">
        <w:rPr>
          <w:rFonts w:cstheme="minorHAnsi"/>
          <w:lang w:val="ru-RU"/>
        </w:rPr>
        <w:t>) в рамках Обсерватории по защите правозащитников.</w:t>
      </w:r>
    </w:p>
    <w:p w14:paraId="3A0CE1CB" w14:textId="77777777" w:rsidR="00F90A46" w:rsidRPr="008D0AD4" w:rsidRDefault="00F90A46" w:rsidP="00F90A46">
      <w:pPr>
        <w:rPr>
          <w:rFonts w:cstheme="minorHAnsi"/>
        </w:rPr>
      </w:pPr>
      <w:r w:rsidRPr="008D0AD4">
        <w:rPr>
          <w:rFonts w:cstheme="minorHAnsi"/>
        </w:rPr>
        <w:t>ARTICLE 19 Europe</w:t>
      </w:r>
    </w:p>
    <w:p w14:paraId="1B3EFED7" w14:textId="77777777" w:rsidR="00F90A46" w:rsidRPr="008D0AD4" w:rsidRDefault="00F90A46" w:rsidP="00F90A46">
      <w:pPr>
        <w:rPr>
          <w:rFonts w:cstheme="minorHAnsi"/>
        </w:rPr>
      </w:pPr>
      <w:r w:rsidRPr="008D0AD4">
        <w:rPr>
          <w:rFonts w:cstheme="minorHAnsi"/>
        </w:rPr>
        <w:t>Amnesty International</w:t>
      </w:r>
    </w:p>
    <w:p w14:paraId="5AC34CA1" w14:textId="77777777" w:rsidR="00F90A46" w:rsidRPr="00557113" w:rsidRDefault="00F90A46" w:rsidP="00F90A46">
      <w:pPr>
        <w:rPr>
          <w:rFonts w:cstheme="minorHAnsi"/>
        </w:rPr>
      </w:pPr>
    </w:p>
    <w:p w14:paraId="0000007B" w14:textId="115FA41E" w:rsidR="00511F6C" w:rsidRPr="004159AD" w:rsidRDefault="00511F6C" w:rsidP="004159AD">
      <w:pPr>
        <w:spacing w:before="240" w:after="240"/>
        <w:jc w:val="both"/>
        <w:rPr>
          <w:color w:val="222222"/>
          <w:highlight w:val="white"/>
          <w:lang w:val="ru-RU"/>
        </w:rPr>
      </w:pPr>
    </w:p>
    <w:sectPr w:rsidR="00511F6C" w:rsidRPr="004159AD" w:rsidSect="004F1685">
      <w:pgSz w:w="11906" w:h="16838"/>
      <w:pgMar w:top="1474" w:right="1474" w:bottom="1474" w:left="147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C"/>
    <w:rsid w:val="0008193E"/>
    <w:rsid w:val="000936BA"/>
    <w:rsid w:val="003A31EF"/>
    <w:rsid w:val="004159AD"/>
    <w:rsid w:val="00477434"/>
    <w:rsid w:val="004F1685"/>
    <w:rsid w:val="00511F6C"/>
    <w:rsid w:val="007E0D30"/>
    <w:rsid w:val="008D0AD4"/>
    <w:rsid w:val="00A21A18"/>
    <w:rsid w:val="00AB01DD"/>
    <w:rsid w:val="00AD13C6"/>
    <w:rsid w:val="00E57B4E"/>
    <w:rsid w:val="00F90A46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FCA8"/>
  <w15:docId w15:val="{E5E4C8CA-44D6-4F36-BADC-3BAFE08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F54F8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42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2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19E3"/>
    <w:pPr>
      <w:ind w:left="720"/>
      <w:contextualSpacing/>
    </w:pPr>
    <w:rPr>
      <w:rFonts w:cs="Times New Roman"/>
      <w:szCs w:val="28"/>
      <w:lang w:val="en-US"/>
    </w:rPr>
  </w:style>
  <w:style w:type="paragraph" w:styleId="Revision">
    <w:name w:val="Revision"/>
    <w:hidden/>
    <w:uiPriority w:val="99"/>
    <w:semiHidden/>
    <w:rsid w:val="005362F9"/>
  </w:style>
  <w:style w:type="character" w:styleId="CommentReference">
    <w:name w:val="annotation reference"/>
    <w:basedOn w:val="DefaultParagraphFont"/>
    <w:uiPriority w:val="99"/>
    <w:semiHidden/>
    <w:unhideWhenUsed/>
    <w:rsid w:val="0053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2F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line.org/sites/default/files/2022-12/451-452_NGO_KGZ_12Dec2022_ru.pdf" TargetMode="External"/><Relationship Id="rId13" Type="http://schemas.openxmlformats.org/officeDocument/2006/relationships/hyperlink" Target="https://www.eeas.europa.eu/delegations/kyrgyz-republic/rus_ru?s=301" TargetMode="External"/><Relationship Id="rId18" Type="http://schemas.openxmlformats.org/officeDocument/2006/relationships/hyperlink" Target="https://24.kg/obschestvo/288724_zakon_obinoagentah_vsemirnyiy_bank_prokommentiroval_obraschenie_npo/" TargetMode="External"/><Relationship Id="rId26" Type="http://schemas.openxmlformats.org/officeDocument/2006/relationships/hyperlink" Target="https://www.europarl.europa.eu/doceo/document/TA-9-2023-0290_E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sphub.eu/conventions" TargetMode="External"/><Relationship Id="rId7" Type="http://schemas.openxmlformats.org/officeDocument/2006/relationships/hyperlink" Target="https://spcommreports.ohchr.org/TMResultsBase/DownLoadPublicCommunicationFile?gId=28447" TargetMode="External"/><Relationship Id="rId12" Type="http://schemas.openxmlformats.org/officeDocument/2006/relationships/hyperlink" Target="https://www.eeas.europa.eu/delegations/kyrgyz-republic/rus_ru?s=301" TargetMode="External"/><Relationship Id="rId17" Type="http://schemas.openxmlformats.org/officeDocument/2006/relationships/hyperlink" Target="https://24.kg/english/275422__President_of_Kyrgyzstan_makes_speech_at_Sustainable_Development_Goals_Summit/" TargetMode="External"/><Relationship Id="rId25" Type="http://schemas.openxmlformats.org/officeDocument/2006/relationships/hyperlink" Target="https://www.europarl.europa.eu/doceo/document/TA-9-2023-0290_EN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4.kg/english/275422__President_of_Kyrgyzstan_makes_speech_at_Sustainable_Development_Goals_Summit/" TargetMode="External"/><Relationship Id="rId20" Type="http://schemas.openxmlformats.org/officeDocument/2006/relationships/hyperlink" Target="https://24.kg/obschestvo/288724_zakon_obinoagentah_vsemirnyiy_bank_prokommentiroval_obraschenie_npo/" TargetMode="External"/><Relationship Id="rId29" Type="http://schemas.openxmlformats.org/officeDocument/2006/relationships/hyperlink" Target="https://www.justice.gov/nsd-fara/fara-index-and-ac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pcommreports.ohchr.org/TMResultsBase/DownLoadPublicCommunicationFile?gId=28447" TargetMode="External"/><Relationship Id="rId11" Type="http://schemas.openxmlformats.org/officeDocument/2006/relationships/hyperlink" Target="https://www.transparency.org/en/news/cpi-2023-eastern-europe-central-asia-autocracy-weak-justice-systems-widespread-enabling-corruption" TargetMode="External"/><Relationship Id="rId24" Type="http://schemas.openxmlformats.org/officeDocument/2006/relationships/hyperlink" Target="https://ec.europa.eu/transparency/documents-register/detail?ref=SWD(2023)368&amp;lang=en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kenesh.kg/bills/634426" TargetMode="External"/><Relationship Id="rId15" Type="http://schemas.openxmlformats.org/officeDocument/2006/relationships/hyperlink" Target="https://kyrgyzstan.un.org/ru/263427-%D0%B7%D0%B0%D1%8F%D0%B2%D0%BB%D0%B5%D0%BD%D0%B8%D0%B5-%D0%BF%D0%BE%D1%81%D1%82%D0%BE%D1%8F%D0%BD%D0%BD%D0%BE%D0%B3%D0%BE-%D0%BA%D0%BE%D0%BE%D1%80%D0%B4%D0%B8%D0%BD%D0%B0%D1%82%D0%BE%D1%80%D0%B0-%D0%BE%D0%BE%D0%BD-%D0%B2-%D1%81%D0%B2%D1%8F%D0%B7%D0%B8-%D1%81-%D0%BF%D1%80%D0%B8%D0%BD%D1%8F%D1%82%D0%B8%D0%B5%D0%BC-%D0%B8%D0%B7%D0%BC%D0%B5%D0%BD%D0%B5%D0%BD%D0%B8%D0%B9-%D0%BA-%D0%B7%D0%B0%D0%BA%D0%BE%D0%BD%D1%83-%D0%BA%D1%8B%D1%80%D0%B3%D1%8B%D0%B7%D1%81%D0%BA%D0%BE%D0%B9" TargetMode="External"/><Relationship Id="rId23" Type="http://schemas.openxmlformats.org/officeDocument/2006/relationships/hyperlink" Target="https://ec.europa.eu/transparency/documents-register/detail?ref=SWD(2023)368&amp;lang=en" TargetMode="External"/><Relationship Id="rId28" Type="http://schemas.openxmlformats.org/officeDocument/2006/relationships/hyperlink" Target="https://www.justice.gov/nsd-fara/fara-index-and-act" TargetMode="External"/><Relationship Id="rId10" Type="http://schemas.openxmlformats.org/officeDocument/2006/relationships/hyperlink" Target="https://www.transparency.org/en/news/cpi-2023-eastern-europe-central-asia-autocracy-weak-justice-systems-widespread-enabling-corruption" TargetMode="External"/><Relationship Id="rId19" Type="http://schemas.openxmlformats.org/officeDocument/2006/relationships/hyperlink" Target="https://24.kg/obschestvo/288724_zakon_obinoagentah_vsemirnyiy_bank_prokommentiroval_obraschenie_npo/" TargetMode="External"/><Relationship Id="rId31" Type="http://schemas.openxmlformats.org/officeDocument/2006/relationships/hyperlink" Target="https://www.state.gov/non-governmental-organizations-ngos-in-the-united-sta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online.org/sites/default/files/2022-12/451-452_NGO_KGZ_12Dec2022_ru.pdf" TargetMode="External"/><Relationship Id="rId14" Type="http://schemas.openxmlformats.org/officeDocument/2006/relationships/hyperlink" Target="https://kyrgyzstan.un.org/ru/263427-%D0%B7%D0%B0%D1%8F%D0%B2%D0%BB%D0%B5%D0%BD%D0%B8%D0%B5-%D0%BF%D0%BE%D1%81%D1%82%D0%BE%D1%8F%D0%BD%D0%BD%D0%BE%D0%B3%D0%BE-%D0%BA%D0%BE%D0%BE%D1%80%D0%B4%D0%B8%D0%BD%D0%B0%D1%82%D0%BE%D1%80%D0%B0-%D0%BE%D0%BE%D0%BD-%D0%B2-%D1%81%D0%B2%D1%8F%D0%B7%D0%B8-%D1%81-%D0%BF%D1%80%D0%B8%D0%BD%D1%8F%D1%82%D0%B8%D0%B5%D0%BC-%D0%B8%D0%B7%D0%BC%D0%B5%D0%BD%D0%B5%D0%BD%D0%B8%D0%B9-%D0%BA-%D0%B7%D0%B0%D0%BA%D0%BE%D0%BD%D1%83-%D0%BA%D1%8B%D1%80%D0%B3%D1%8B%D0%B7%D1%81%D0%BA%D0%BE%D0%B9" TargetMode="External"/><Relationship Id="rId22" Type="http://schemas.openxmlformats.org/officeDocument/2006/relationships/hyperlink" Target="https://gsphub.eu/conventions" TargetMode="External"/><Relationship Id="rId27" Type="http://schemas.openxmlformats.org/officeDocument/2006/relationships/hyperlink" Target="https://www.justice.gov/nsd-fara/fara-index-and-act" TargetMode="External"/><Relationship Id="rId30" Type="http://schemas.openxmlformats.org/officeDocument/2006/relationships/hyperlink" Target="https://www.state.gov/non-governmental-organizations-ngos-in-the-united-st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FO8xm0IDvSLYHqYtZ7fMgyl+qg==">CgMxLjAaGgoBMBIVChMIBCoPCgtBQUFCSmljSVVmWRABGhoKATESFQoTCAQqDwoLQUFBQkppY0lVZlkQARoaCgEyEhUKEwgEKg8KC0FBQUJKaWNJVWZZEAEaGgoBMxIVChMIBCoPCgtBQUFCSmljSVVmWRABGhoKATQSFQoTCAQqDwoLQUFBQkppY0lVZlkQARoaCgE1EhUKEwgEKg8KC0FBQUJKaWNJVWZZEAEi9QIKC0FBQUJKaWNJVWZZEr8CCgtBQUFCSmljSVVmWRILQUFBQkppY0lVZlkaDQoJdGV4dC9odG1sEgAiDgoKdGV4dC9wbGFpbhIAKhsiFTEwOTYwNTE2MTI1MDk5OTA0NDM0NigAOAAwwfG52+UxOJL9udvlMUqeAQokYXBwbGljYXRpb24vdm5kLmdvb2dsZS1hcHBzLmRvY3MubWRzGnbC19rkAXAabgpqCmRGSURIIChJbnRlcm5hdGlvbmFsIEZlZGVyYXRpb24gZm9yIEh1bWFuIFJpZ2h0cyksIHdpdGhpbiB0aGUgZnJhbWV3b3JrIG9mIHRoZSBPYnNlcnZhdG9yeSBmb3IgdGhlIFByEAEYARABWgxldXA2bGdlNWR1Z3hyAiAAeACCARRzdWdnZXN0LmtmdHFud3czYWs4epoBBggAEAAYALABALgBABjB8bnb5TEgkv252+UxMABCFHN1Z2dlc3Qua2Z0cW53dzNhazh6Mg5oLnIyaHkyeHl0aTh1ZjIOaC5hdDBiODBjeDJ4YmcyCGguZ2pkZ3hzMgloLjMwajB6bGwyCWguMWZvYjl0ZTIIaC5namRneHMyCGguZ2pkZ3hzOABqJwoUc3VnZ2VzdC5zM3R1MXY4dHNqNTISD1l1cmkgRHpoaWJsYWR6ZWonChRzdWdnZXN0LmlyaGU1MXFzeGc4axIPWXVyaSBEemhpYmxhZHplaicKFHN1Z2dlc3QuYm9vMHN2ZXo2OXZnEg9ZdXJpIER6aGlibGFkemVqJwoUc3VnZ2VzdC50bzltcnR0bnh5cWQSD1l1cmkgRHpoaWJsYWR6ZWomChNzdWdnZXN0LmJtZG5ncmY1MmNoEg9ZdXJpIER6aGlibGFkemVqJwoUc3VnZ2VzdC5pcmozMThwY25idXUSD1l1cmkgRHpoaWJsYWR6ZWonChRzdWdnZXN0Lml5MjdvaHE4N3NobRIPWXVyaSBEemhpYmxhZHplaicKFHN1Z2dlc3QueTlndmZ1ZGYzd3VyEg9ZdXJpIER6aGlibGFkemVqJwoUc3VnZ2VzdC42OWdrOXphbzNrcWsSD1l1cmkgRHpoaWJsYWR6ZWonChRzdWdnZXN0LjRsZDQxa21sYjNiOBIPWXVyaSBEemhpYmxhZHplaicKFHN1Z2dlc3QuNHNuNmhvZnBsY2p5Eg9ZdXJpIER6aGlibGFkemVqLgoUc3VnZ2VzdC5rZnRxbnd3M2FrOHoSFkp1c3RpbmUgTGF2YXJkZSAoRklESClqJwoUc3VnZ2VzdC50c2xkd2xzbXFudG8SD1l1cmkgRHpoaWJsYWR6ZWonChRzdWdnZXN0LjY3OWkzOWM3b2o0dRIPWXVyaSBEemhpYmxhZHplaicKFHN1Z2dlc3QuMzA1d3QwNmVlbWNhEg9ZdXJpIER6aGlibGFkemVqJwoUc3VnZ2VzdC5sNjV0ZnBjZ3ltNjYSD1l1cmkgRHpoaWJsYWR6ZWonChRzdWdnZXN0LmFuOHMxdnJwczdwMhIPWXVyaSBEemhpYmxhZHplaicKFHN1Z2dlc3QuOW9xcjlhMmQwamw1Eg9ZdXJpIER6aGlibGFkemVqJwoUc3VnZ2VzdC5hdjUwZ2RzenNrbnESD1l1cmkgRHpoaWJsYWR6ZWonChRzdWdnZXN0LjV0dmUyYm16MTZ6bhIPWXVyaSBEemhpYmxhZHplaicKFHN1Z2dlc3QuZGs5ODlzY2pka3FzEg9ZdXJpIER6aGlibGFkemVyITFTM1RmVmd4Ym9GdUc2dUdVWHkxNVhyS1lPZkd5bks2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2286</Words>
  <Characters>13032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 Nyman</dc:creator>
  <cp:lastModifiedBy>Marcela Rilovic</cp:lastModifiedBy>
  <cp:revision>2</cp:revision>
  <cp:lastPrinted>2024-03-20T12:31:00Z</cp:lastPrinted>
  <dcterms:created xsi:type="dcterms:W3CDTF">2024-03-20T15:08:00Z</dcterms:created>
  <dcterms:modified xsi:type="dcterms:W3CDTF">2024-03-20T15:08:00Z</dcterms:modified>
</cp:coreProperties>
</file>