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89677" w14:textId="1BCBEB50" w:rsidR="00ED2B02" w:rsidRDefault="00ED2B02" w:rsidP="41C89DD2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</w:p>
    <w:p w14:paraId="510C2963" w14:textId="56ADC8F0" w:rsidR="005906B9" w:rsidRDefault="005906B9" w:rsidP="005906B9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A9C9C72" wp14:editId="6F7492F9">
            <wp:simplePos x="0" y="0"/>
            <wp:positionH relativeFrom="margin">
              <wp:posOffset>-82356</wp:posOffset>
            </wp:positionH>
            <wp:positionV relativeFrom="page">
              <wp:posOffset>821816</wp:posOffset>
            </wp:positionV>
            <wp:extent cx="1548765" cy="106489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1061A978" wp14:editId="0DAF084F">
            <wp:simplePos x="0" y="0"/>
            <wp:positionH relativeFrom="page">
              <wp:posOffset>4888980</wp:posOffset>
            </wp:positionH>
            <wp:positionV relativeFrom="margin">
              <wp:posOffset>-75050</wp:posOffset>
            </wp:positionV>
            <wp:extent cx="2204720" cy="717550"/>
            <wp:effectExtent l="0" t="0" r="5080" b="6350"/>
            <wp:wrapTight wrapText="bothSides">
              <wp:wrapPolygon edited="0">
                <wp:start x="0" y="0"/>
                <wp:lineTo x="0" y="21218"/>
                <wp:lineTo x="21463" y="21218"/>
                <wp:lineTo x="2146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EDE7C85" wp14:editId="45E6E834">
            <wp:simplePos x="0" y="0"/>
            <wp:positionH relativeFrom="margin">
              <wp:posOffset>1320915</wp:posOffset>
            </wp:positionH>
            <wp:positionV relativeFrom="paragraph">
              <wp:posOffset>-1002282</wp:posOffset>
            </wp:positionV>
            <wp:extent cx="3317534" cy="2487978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7534" cy="24879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8F8C8D" w14:textId="75E7AB11" w:rsidR="004E7BB8" w:rsidRDefault="00A546E9" w:rsidP="00A546E9">
      <w:pPr>
        <w:tabs>
          <w:tab w:val="left" w:pos="2356"/>
        </w:tabs>
        <w:spacing w:after="0"/>
        <w:rPr>
          <w:rFonts w:eastAsiaTheme="majorEastAsia" w:cstheme="majorBidi"/>
          <w:color w:val="FF0000"/>
          <w:sz w:val="40"/>
          <w:szCs w:val="44"/>
        </w:rPr>
      </w:pPr>
      <w:r>
        <w:rPr>
          <w:rFonts w:eastAsiaTheme="majorEastAsia" w:cstheme="majorBidi"/>
          <w:color w:val="FF0000"/>
          <w:sz w:val="40"/>
          <w:szCs w:val="44"/>
        </w:rPr>
        <w:tab/>
      </w:r>
    </w:p>
    <w:p w14:paraId="0FF5C4CF" w14:textId="628C040D" w:rsidR="005906B9" w:rsidRDefault="005906B9" w:rsidP="005906B9">
      <w:pPr>
        <w:spacing w:line="360" w:lineRule="auto"/>
        <w:ind w:left="720"/>
        <w:jc w:val="center"/>
        <w:rPr>
          <w:rFonts w:eastAsiaTheme="majorEastAsia" w:cstheme="majorBidi"/>
          <w:b/>
          <w:color w:val="0867F2"/>
          <w:sz w:val="40"/>
          <w:szCs w:val="40"/>
        </w:rPr>
      </w:pPr>
    </w:p>
    <w:p w14:paraId="6A6707FA" w14:textId="12E3A43B" w:rsidR="00DA3EC2" w:rsidRPr="00991EA6" w:rsidRDefault="00DA3EC2" w:rsidP="00DA3EC2">
      <w:pPr>
        <w:spacing w:line="360" w:lineRule="auto"/>
        <w:ind w:left="720"/>
        <w:jc w:val="center"/>
        <w:rPr>
          <w:rFonts w:cs="Times New Roman"/>
          <w:b/>
          <w:bCs/>
          <w:color w:val="0000FF"/>
          <w:kern w:val="36"/>
          <w:sz w:val="40"/>
          <w:szCs w:val="40"/>
          <w:lang w:val="pt-PT" w:eastAsia="en-US"/>
        </w:rPr>
      </w:pPr>
      <w:r w:rsidRPr="00991EA6">
        <w:rPr>
          <w:rFonts w:cs="Times New Roman"/>
          <w:b/>
          <w:bCs/>
          <w:color w:val="0000FF"/>
          <w:kern w:val="36"/>
          <w:sz w:val="40"/>
          <w:szCs w:val="40"/>
          <w:lang w:val="pt-PT" w:eastAsia="en-US"/>
        </w:rPr>
        <w:t>CONVITE À APRESENTAÇÃO DE PROPOSTAS</w:t>
      </w:r>
    </w:p>
    <w:p w14:paraId="7707ADD8" w14:textId="77777777" w:rsidR="00DA3EC2" w:rsidRPr="00DA3EC2" w:rsidRDefault="00DA3EC2" w:rsidP="00DA3EC2">
      <w:pPr>
        <w:ind w:left="720"/>
        <w:jc w:val="center"/>
        <w:rPr>
          <w:rFonts w:eastAsiaTheme="majorEastAsia" w:cstheme="majorBidi"/>
          <w:color w:val="000000" w:themeColor="text1"/>
          <w:sz w:val="32"/>
          <w:szCs w:val="32"/>
          <w:lang w:val="pt-PT"/>
        </w:rPr>
      </w:pPr>
      <w:r w:rsidRPr="00DA3EC2">
        <w:rPr>
          <w:rFonts w:eastAsiaTheme="majorEastAsia" w:cstheme="majorBidi"/>
          <w:color w:val="000000" w:themeColor="text1"/>
          <w:sz w:val="32"/>
          <w:szCs w:val="32"/>
          <w:lang w:val="pt-PT"/>
        </w:rPr>
        <w:t>CRIAÇÃO DE COLIGAÇÕES E DESENVOLVIMENTO DE ESTRATÉGIAS NAS OSC</w:t>
      </w:r>
    </w:p>
    <w:p w14:paraId="7CA531F9" w14:textId="77777777" w:rsidR="00DA3EC2" w:rsidRPr="00DA3EC2" w:rsidRDefault="00DA3EC2" w:rsidP="00DA3EC2">
      <w:pPr>
        <w:ind w:left="720"/>
        <w:jc w:val="center"/>
        <w:rPr>
          <w:rFonts w:eastAsiaTheme="majorEastAsia" w:cstheme="majorBidi"/>
          <w:color w:val="000000" w:themeColor="text1"/>
          <w:sz w:val="32"/>
          <w:szCs w:val="32"/>
          <w:lang w:val="pt-PT"/>
        </w:rPr>
      </w:pPr>
      <w:r w:rsidRPr="00DA3EC2">
        <w:rPr>
          <w:rFonts w:eastAsiaTheme="majorEastAsia" w:cstheme="majorBidi"/>
          <w:color w:val="000000" w:themeColor="text1"/>
          <w:sz w:val="32"/>
          <w:szCs w:val="32"/>
          <w:lang w:val="pt-PT"/>
        </w:rPr>
        <w:t>PARA OS DIREITOS DAS MULHERES, A JUSTIÇA AMBIENTAL E A LUTA CONTRA A CORRUPÇÃO</w:t>
      </w:r>
    </w:p>
    <w:p w14:paraId="0006787F" w14:textId="727715AB" w:rsidR="00DF0C97" w:rsidRPr="00CB5A3C" w:rsidRDefault="00667719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CB5A3C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Contexto</w:t>
      </w:r>
    </w:p>
    <w:p w14:paraId="7A42EBDF" w14:textId="1CA2B425" w:rsidR="00667719" w:rsidRPr="00667719" w:rsidRDefault="00667719" w:rsidP="00667719">
      <w:pPr>
        <w:rPr>
          <w:lang w:val="pt-PT" w:eastAsia="en-US"/>
        </w:rPr>
      </w:pPr>
      <w:r w:rsidRPr="00667719">
        <w:rPr>
          <w:lang w:val="pt-PT" w:eastAsia="en-US"/>
        </w:rPr>
        <w:t>Tendo como pano de fundo a tendência para a diminuição do espaço cívico na União Europeia (UE), este projeto visa contribuir para a criação de um ambiente propício à sociedade civil em cinco Estados-Membros da UE que necessitam urgentemente de reforçar a sociedade civil: Roménia, Bulgária, Croácia, Eslovénia e Portugal. O projeto permitirá que as organizações da sociedade civil (OSC) que trabalham nos domínios dos direitos das mulheres, da justiça ambiental e da luta contra a corrupção sejam mais eficazes na promoção dos valores da UE, mais resistentes às ameaças e capazes de responder rapidamente às tendências que afetam o espaço da sociedade civil nos respetivos países. Isto conduzirá, em última análise, a uma melhor proteção, promoção e reconhecimento dos direitos e valores fundamentais da UE nos países-alvo e, consequentemente, contribuirá para reforçar o respeito pelos valores da UE também a nível comunitário.  Para fazer face a estes desenvolvimentos preocupantes, o projeto contribuirá para</w:t>
      </w:r>
      <w:r>
        <w:rPr>
          <w:lang w:val="pt-PT" w:eastAsia="en-US"/>
        </w:rPr>
        <w:t>:</w:t>
      </w:r>
    </w:p>
    <w:p w14:paraId="70DC151F" w14:textId="25B3848E" w:rsidR="001D0118" w:rsidRDefault="001D0118" w:rsidP="001D0118">
      <w:pPr>
        <w:pStyle w:val="Heading1"/>
        <w:numPr>
          <w:ilvl w:val="0"/>
          <w:numId w:val="4"/>
        </w:numPr>
        <w:spacing w:before="100" w:beforeAutospacing="1" w:after="100" w:afterAutospacing="1"/>
        <w:jc w:val="both"/>
        <w:rPr>
          <w:rFonts w:eastAsia="Calibri" w:cs="Times New Roman"/>
          <w:b w:val="0"/>
          <w:color w:val="000000"/>
          <w:sz w:val="22"/>
          <w:szCs w:val="22"/>
          <w:lang w:val="pt-PT" w:eastAsia="en-US"/>
        </w:rPr>
      </w:pPr>
      <w:bookmarkStart w:id="0" w:name="_Toc118188891"/>
      <w:r w:rsidRPr="001D0118">
        <w:rPr>
          <w:rFonts w:eastAsia="Calibri" w:cs="Times New Roman"/>
          <w:b w:val="0"/>
          <w:color w:val="000000"/>
          <w:sz w:val="22"/>
          <w:szCs w:val="22"/>
          <w:lang w:val="pt-PT" w:eastAsia="en-US"/>
        </w:rPr>
        <w:t>Melhorar a resposta da sociedade civil às novas tendências que afetam o espaço democrático e cívico e a sociedade civil;</w:t>
      </w:r>
    </w:p>
    <w:p w14:paraId="169CD980" w14:textId="77777777" w:rsidR="001D0118" w:rsidRDefault="001D0118" w:rsidP="001D0118">
      <w:pPr>
        <w:pStyle w:val="Heading1"/>
        <w:numPr>
          <w:ilvl w:val="0"/>
          <w:numId w:val="4"/>
        </w:numPr>
        <w:spacing w:before="100" w:beforeAutospacing="1" w:after="100" w:afterAutospacing="1"/>
        <w:jc w:val="both"/>
        <w:rPr>
          <w:rFonts w:eastAsia="Calibri" w:cs="Times New Roman"/>
          <w:b w:val="0"/>
          <w:color w:val="000000"/>
          <w:sz w:val="22"/>
          <w:szCs w:val="22"/>
          <w:lang w:val="pt-PT" w:eastAsia="en-US"/>
        </w:rPr>
      </w:pPr>
      <w:r w:rsidRPr="001D0118">
        <w:rPr>
          <w:rFonts w:eastAsia="Calibri" w:cs="Times New Roman"/>
          <w:b w:val="0"/>
          <w:color w:val="000000"/>
          <w:sz w:val="22"/>
          <w:szCs w:val="22"/>
          <w:lang w:val="pt-PT" w:eastAsia="en-US"/>
        </w:rPr>
        <w:t>Reforçar a eficácia, a responsabilidade e a sustentabilidade das OSC de base;</w:t>
      </w:r>
    </w:p>
    <w:p w14:paraId="419A1802" w14:textId="1A50B81A" w:rsidR="001D0118" w:rsidRPr="001D0118" w:rsidRDefault="001D0118" w:rsidP="001D0118">
      <w:pPr>
        <w:pStyle w:val="Heading1"/>
        <w:numPr>
          <w:ilvl w:val="0"/>
          <w:numId w:val="4"/>
        </w:numPr>
        <w:spacing w:before="100" w:beforeAutospacing="1" w:after="100" w:afterAutospacing="1"/>
        <w:jc w:val="both"/>
        <w:rPr>
          <w:rFonts w:eastAsia="Calibri" w:cs="Times New Roman"/>
          <w:b w:val="0"/>
          <w:color w:val="000000"/>
          <w:sz w:val="22"/>
          <w:szCs w:val="22"/>
          <w:lang w:val="pt-PT" w:eastAsia="en-US"/>
        </w:rPr>
      </w:pPr>
      <w:r w:rsidRPr="001D0118">
        <w:rPr>
          <w:rFonts w:eastAsia="Calibri" w:cs="Times New Roman"/>
          <w:b w:val="0"/>
          <w:color w:val="000000"/>
          <w:sz w:val="22"/>
          <w:szCs w:val="22"/>
          <w:lang w:val="pt-PT" w:eastAsia="en-US"/>
        </w:rPr>
        <w:t>Aumentar a visibilidade e a compreensão do trabalho das OSC de base apoiadas pelo projeto.</w:t>
      </w:r>
    </w:p>
    <w:p w14:paraId="409AEC65" w14:textId="5117580D" w:rsidR="008F75B7" w:rsidRPr="001D0118" w:rsidRDefault="008F75B7" w:rsidP="00DC4F3B">
      <w:pPr>
        <w:rPr>
          <w:lang w:val="pt-PT" w:eastAsia="en-US"/>
        </w:rPr>
      </w:pPr>
    </w:p>
    <w:p w14:paraId="452E3BE5" w14:textId="2DADA8A4" w:rsidR="002B0DFB" w:rsidRPr="001D0118" w:rsidRDefault="009E5A55" w:rsidP="009E5A55">
      <w:pPr>
        <w:tabs>
          <w:tab w:val="left" w:pos="3282"/>
        </w:tabs>
        <w:rPr>
          <w:lang w:val="pt-PT" w:eastAsia="en-US"/>
        </w:rPr>
      </w:pPr>
      <w:r w:rsidRPr="001D0118">
        <w:rPr>
          <w:lang w:val="pt-PT" w:eastAsia="en-US"/>
        </w:rPr>
        <w:tab/>
      </w:r>
    </w:p>
    <w:p w14:paraId="5FA9495C" w14:textId="2ACE2F08" w:rsidR="00E17C58" w:rsidRPr="001D0118" w:rsidRDefault="00E17C58" w:rsidP="00DC4F3B">
      <w:pPr>
        <w:rPr>
          <w:lang w:val="pt-PT" w:eastAsia="en-US"/>
        </w:rPr>
      </w:pPr>
    </w:p>
    <w:p w14:paraId="7047FB22" w14:textId="067D445A" w:rsidR="00B738D3" w:rsidRPr="001D0118" w:rsidRDefault="001D0118" w:rsidP="00E51056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1D0118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Objetivo do convite</w:t>
      </w:r>
    </w:p>
    <w:p w14:paraId="55C3E41E" w14:textId="6F625756" w:rsidR="0022400B" w:rsidRPr="001D0118" w:rsidRDefault="001D0118" w:rsidP="0022400B">
      <w:pPr>
        <w:rPr>
          <w:rFonts w:cs="Arial"/>
          <w:lang w:val="pt-PT"/>
        </w:rPr>
      </w:pPr>
      <w:r w:rsidRPr="001D0118">
        <w:rPr>
          <w:rFonts w:cs="Arial"/>
          <w:lang w:val="pt-PT"/>
        </w:rPr>
        <w:t>A NHC pretende conceder subvenções às organizações da sociedade civil parceiras e às iniciativas de base que trabalham no domínio dos direitos das mulheres, da justiça ambiental e da luta contra a corrupção, nos cinco países do projeto: Portugal, Eslovénia, Roménia, Croácia e Bulgária.</w:t>
      </w:r>
    </w:p>
    <w:p w14:paraId="038E21C7" w14:textId="519F5A71" w:rsidR="001D0118" w:rsidRPr="001D0118" w:rsidRDefault="001D0118" w:rsidP="0022400B">
      <w:pPr>
        <w:rPr>
          <w:rFonts w:cs="Arial"/>
          <w:lang w:val="pt-PT"/>
        </w:rPr>
      </w:pPr>
      <w:r w:rsidRPr="001D0118">
        <w:rPr>
          <w:rFonts w:cs="Arial"/>
          <w:lang w:val="pt-PT"/>
        </w:rPr>
        <w:t>A formação de coligações é uma dimensão fundamental deste projeto, uma vez que se trata de uma estratégia comprovada para reforçar a capacidade de resistência das OSC e oferece a possibilidade de coordenar melhor as ações e trocar informações para operar de forma mais eficaz. Estas atividades de formação de coligações terão lugar a nível local, regional, nacional e transnacional, bem como a nível da UE, reunindo assim as partes interessadas relevantes dos diferentes países-alvo para discutir e desenvolver estratégias conjuntas para fazer face à diminuição do espaço cívico e recomendações políticas que serão apresentadas aos decisores políticos nacionais e da UE. O presente convite permitirá igualmente às OSC locais contribuir de forma mais sistemática para as consultas políticas nacionais e comunitárias, influenciar e acompanhar as novas políticas e assinalar as tendências relativas ao espaço cívico e à proteção dos valores da União.</w:t>
      </w:r>
    </w:p>
    <w:p w14:paraId="75B7C277" w14:textId="7B55227D" w:rsidR="0022400B" w:rsidRPr="001D0118" w:rsidRDefault="001D0118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2"/>
          <w:lang w:val="pt-PT" w:eastAsia="en-US"/>
        </w:rPr>
      </w:pPr>
      <w:r w:rsidRPr="001D0118">
        <w:rPr>
          <w:rFonts w:cs="Times New Roman"/>
          <w:bCs/>
          <w:color w:val="0000FF"/>
          <w:kern w:val="36"/>
          <w:sz w:val="32"/>
          <w:lang w:val="pt-PT" w:eastAsia="en-US"/>
        </w:rPr>
        <w:t>Resultados esperados</w:t>
      </w:r>
    </w:p>
    <w:p w14:paraId="25AC4C96" w14:textId="50FFB3A8" w:rsidR="0022400B" w:rsidRPr="001D0118" w:rsidRDefault="001D0118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val="pt-PT" w:eastAsia="en-US"/>
        </w:rPr>
      </w:pPr>
      <w:r w:rsidRPr="001D0118">
        <w:rPr>
          <w:rFonts w:cs="Times New Roman"/>
          <w:bCs/>
          <w:color w:val="0000FF"/>
          <w:kern w:val="36"/>
          <w:sz w:val="24"/>
          <w:szCs w:val="24"/>
          <w:lang w:val="pt-PT" w:eastAsia="en-US"/>
        </w:rPr>
        <w:t xml:space="preserve"> Melhoria da formação de coligações:</w:t>
      </w:r>
    </w:p>
    <w:p w14:paraId="767BD56F" w14:textId="38BB987D" w:rsidR="001D0118" w:rsidRP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>Formação de coligações diversas e inclusivas que incluam várias OSC, grupos comunitários e partes interessadas com objetivos alinhados.</w:t>
      </w:r>
    </w:p>
    <w:p w14:paraId="07B80780" w14:textId="32A71778" w:rsidR="001D0118" w:rsidRP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>Aumento do trabalho em rede e da colaboração entre OSC de diferentes sectores, partilhando recursos, conhecimentos e competências.</w:t>
      </w:r>
    </w:p>
    <w:p w14:paraId="2FE221EB" w14:textId="7C9E8ACA" w:rsidR="001D0118" w:rsidRP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>Reforço das relações entre as OSC e os organismos governamentais relevantes, conduzindo a uma defesa mais eficaz e a um envolvimento político.</w:t>
      </w:r>
    </w:p>
    <w:p w14:paraId="4AC32980" w14:textId="0CA719F6" w:rsidR="0022400B" w:rsidRPr="001D0118" w:rsidRDefault="001D0118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val="pt-PT" w:eastAsia="en-US"/>
        </w:rPr>
      </w:pPr>
      <w:r w:rsidRPr="001D0118">
        <w:rPr>
          <w:rFonts w:cs="Times New Roman"/>
          <w:bCs/>
          <w:color w:val="0000FF"/>
          <w:kern w:val="36"/>
          <w:sz w:val="24"/>
          <w:szCs w:val="24"/>
          <w:lang w:val="pt-PT" w:eastAsia="en-US"/>
        </w:rPr>
        <w:t xml:space="preserve"> Desenvolvimento de estratégias sólidas:</w:t>
      </w:r>
    </w:p>
    <w:p w14:paraId="7284A686" w14:textId="77777777" w:rsidR="001D0118" w:rsidRP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 xml:space="preserve">Desenvolvimento de estratégias bem definidas e baseadas em factos pelas OSC participantes para enfrentar desafios específicos no domínio dos direitos das mulheres, da justiça ambiental e da luta contra a corrupção. </w:t>
      </w:r>
    </w:p>
    <w:p w14:paraId="6475932E" w14:textId="4AEFF486" w:rsidR="001D0118" w:rsidRP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>Reforço da capacidade das OSC para analisar questões complexas, identificar as causas profundas e conceber estratégias globais para uma mudança sustentável.</w:t>
      </w:r>
    </w:p>
    <w:p w14:paraId="0CD503A7" w14:textId="52147946" w:rsid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>Criação de estratégias adaptáveis que integrem o contributo das partes interessadas, abordagens inovadoras e objetivos mensuráveis.</w:t>
      </w:r>
    </w:p>
    <w:p w14:paraId="649EAA1A" w14:textId="77777777" w:rsidR="00667719" w:rsidRDefault="00667719" w:rsidP="00667719">
      <w:pPr>
        <w:ind w:left="360"/>
        <w:rPr>
          <w:rFonts w:cs="Arial"/>
          <w:lang w:val="pt-PT"/>
        </w:rPr>
      </w:pPr>
    </w:p>
    <w:p w14:paraId="48F65951" w14:textId="77777777" w:rsidR="00667719" w:rsidRPr="00667719" w:rsidRDefault="00667719" w:rsidP="00667719">
      <w:pPr>
        <w:ind w:left="360"/>
        <w:rPr>
          <w:rFonts w:cs="Arial"/>
          <w:lang w:val="pt-PT"/>
        </w:rPr>
      </w:pPr>
    </w:p>
    <w:p w14:paraId="3E4AF1D7" w14:textId="6ED80505" w:rsidR="0022400B" w:rsidRPr="001D0118" w:rsidRDefault="001D0118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val="pt-PT" w:eastAsia="en-US"/>
        </w:rPr>
      </w:pPr>
      <w:r w:rsidRPr="001D0118">
        <w:rPr>
          <w:rFonts w:cs="Times New Roman"/>
          <w:bCs/>
          <w:color w:val="0000FF"/>
          <w:kern w:val="36"/>
          <w:sz w:val="24"/>
          <w:szCs w:val="24"/>
          <w:lang w:val="pt-PT" w:eastAsia="en-US"/>
        </w:rPr>
        <w:lastRenderedPageBreak/>
        <w:t>Aumento do impacto da advocacia:</w:t>
      </w:r>
    </w:p>
    <w:p w14:paraId="05E8B540" w14:textId="37E57513" w:rsidR="001D0118" w:rsidRP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 xml:space="preserve">Implementação bem-sucedida de campanhas de sensibilização que resultam em alterações políticas a nível nacional ou regional. </w:t>
      </w:r>
    </w:p>
    <w:p w14:paraId="4B7E0941" w14:textId="574EEEAA" w:rsidR="001D0118" w:rsidRP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 xml:space="preserve"> Amplificação da voz das OSC nos debates políticos, conduzindo a uma maior influência nas decisões que afetam as suas questões-alvo.</w:t>
      </w:r>
    </w:p>
    <w:p w14:paraId="6EA0F7F7" w14:textId="669E884F" w:rsidR="001D0118" w:rsidRPr="001D0118" w:rsidRDefault="001D0118" w:rsidP="001D0118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1D0118">
        <w:rPr>
          <w:rFonts w:cs="Arial"/>
          <w:lang w:val="pt-PT"/>
        </w:rPr>
        <w:t>Melhoria da capacidade de comunicar e defender mudanças políticas, utilizando argumentos baseados em dados e narrativas convincentes.</w:t>
      </w:r>
    </w:p>
    <w:p w14:paraId="143842A5" w14:textId="4554C2E5" w:rsidR="0022400B" w:rsidRPr="008D730E" w:rsidRDefault="008D730E" w:rsidP="005E30AB">
      <w:pPr>
        <w:rPr>
          <w:rFonts w:cs="Arial"/>
          <w:lang w:val="pt-PT"/>
        </w:rPr>
      </w:pPr>
      <w:r w:rsidRPr="008D730E"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pt-PT" w:eastAsia="en-US"/>
        </w:rPr>
        <w:t xml:space="preserve"> Reforço das capacidades e partilha de conhecimentos:</w:t>
      </w:r>
    </w:p>
    <w:p w14:paraId="5E9A2E60" w14:textId="4583A04B" w:rsidR="008D730E" w:rsidRPr="008D730E" w:rsidRDefault="008D730E" w:rsidP="008D730E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8D730E">
        <w:rPr>
          <w:rFonts w:cs="Arial"/>
          <w:lang w:val="pt-PT"/>
        </w:rPr>
        <w:t>Reforço das competências e capacidades do pessoal e dos membros das OSC em domínios como a formação de coligações, o planeamento estratégico, a sensibilização e a comunicação.</w:t>
      </w:r>
    </w:p>
    <w:p w14:paraId="5BF20419" w14:textId="24ED189C" w:rsidR="008D730E" w:rsidRPr="008D730E" w:rsidRDefault="008D730E" w:rsidP="008D730E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8D730E">
        <w:rPr>
          <w:rFonts w:cs="Arial"/>
          <w:lang w:val="pt-PT"/>
        </w:rPr>
        <w:t>Sessões regulares de intercâmbio de conhecimentos e workshops no seio da coligação, conduzindo a uma aprendizagem cruzada e à adoção de boas práticas.</w:t>
      </w:r>
    </w:p>
    <w:p w14:paraId="742D161C" w14:textId="46051CF2" w:rsidR="008D730E" w:rsidRPr="008D730E" w:rsidRDefault="008D730E" w:rsidP="008D730E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8D730E">
        <w:rPr>
          <w:rFonts w:cs="Arial"/>
          <w:lang w:val="pt-PT"/>
        </w:rPr>
        <w:t>Documentação de lições aprendidas e histórias de sucesso para partilhar com a comunidade mais alargada das OSC e inspirar a replicação.</w:t>
      </w:r>
    </w:p>
    <w:p w14:paraId="4EDF02CA" w14:textId="11CA9FBD" w:rsidR="0022400B" w:rsidRPr="004956E9" w:rsidRDefault="004956E9" w:rsidP="005E30AB">
      <w:pPr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pt-PT" w:eastAsia="en-US"/>
        </w:rPr>
      </w:pPr>
      <w:r w:rsidRPr="004956E9"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pt-PT" w:eastAsia="en-US"/>
        </w:rPr>
        <w:t xml:space="preserve"> Promover a participação cívica:</w:t>
      </w:r>
    </w:p>
    <w:p w14:paraId="2917AC23" w14:textId="5FF27ABD" w:rsidR="004956E9" w:rsidRPr="004956E9" w:rsidRDefault="004956E9" w:rsidP="004956E9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4956E9">
        <w:rPr>
          <w:rFonts w:cs="Arial"/>
          <w:lang w:val="pt-PT"/>
        </w:rPr>
        <w:t>Maior envolvimento e participação dos membros da comunidade em iniciativas lideradas por OSC, resultando em cidadãos mais informados e capacitados.</w:t>
      </w:r>
    </w:p>
    <w:p w14:paraId="047CC2D4" w14:textId="76D411DD" w:rsidR="004956E9" w:rsidRPr="004956E9" w:rsidRDefault="004956E9" w:rsidP="004956E9">
      <w:pPr>
        <w:pStyle w:val="ListParagraph"/>
        <w:numPr>
          <w:ilvl w:val="0"/>
          <w:numId w:val="4"/>
        </w:numPr>
        <w:rPr>
          <w:rFonts w:cs="Arial"/>
          <w:lang w:val="pt-PT"/>
        </w:rPr>
      </w:pPr>
      <w:r w:rsidRPr="004956E9">
        <w:rPr>
          <w:rFonts w:cs="Arial"/>
          <w:lang w:val="pt-PT"/>
        </w:rPr>
        <w:t>Criação de plataformas para um diálogo permanente entre as OSC e os decisores/responsáveis políticos.</w:t>
      </w:r>
    </w:p>
    <w:p w14:paraId="75B7C9E4" w14:textId="3FD189A9" w:rsidR="0003681B" w:rsidRPr="00CB5A3C" w:rsidRDefault="27EE018D" w:rsidP="004956E9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CB5A3C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Grant amount and duration</w:t>
      </w:r>
    </w:p>
    <w:p w14:paraId="7AB49DD0" w14:textId="2A408EB6" w:rsidR="004956E9" w:rsidRPr="004956E9" w:rsidRDefault="004956E9" w:rsidP="0008524A">
      <w:pPr>
        <w:rPr>
          <w:b/>
          <w:bCs/>
          <w:color w:val="000000" w:themeColor="text1"/>
          <w:lang w:val="pt-PT"/>
        </w:rPr>
      </w:pPr>
      <w:r w:rsidRPr="004956E9">
        <w:rPr>
          <w:color w:val="000000" w:themeColor="text1"/>
          <w:lang w:val="pt-PT"/>
        </w:rPr>
        <w:t xml:space="preserve">A NHC pretende </w:t>
      </w:r>
      <w:r w:rsidRPr="004956E9">
        <w:rPr>
          <w:b/>
          <w:bCs/>
          <w:color w:val="000000" w:themeColor="text1"/>
          <w:u w:val="single"/>
          <w:lang w:val="pt-PT"/>
        </w:rPr>
        <w:t>conceder até 3 subvenções por país-alvo (Bulgária, Roménia, Eslovénia, Croácia</w:t>
      </w:r>
      <w:r w:rsidRPr="004956E9">
        <w:rPr>
          <w:b/>
          <w:bCs/>
          <w:color w:val="000000" w:themeColor="text1"/>
          <w:lang w:val="pt-PT"/>
        </w:rPr>
        <w:t xml:space="preserve"> </w:t>
      </w:r>
      <w:r w:rsidRPr="004956E9">
        <w:rPr>
          <w:b/>
          <w:bCs/>
          <w:color w:val="000000" w:themeColor="text1"/>
          <w:u w:val="single"/>
          <w:lang w:val="pt-PT"/>
        </w:rPr>
        <w:t>e Portugal</w:t>
      </w:r>
      <w:r w:rsidRPr="004956E9">
        <w:rPr>
          <w:color w:val="000000" w:themeColor="text1"/>
          <w:lang w:val="pt-PT"/>
        </w:rPr>
        <w:t xml:space="preserve">), cada uma das quais entre </w:t>
      </w:r>
      <w:r w:rsidRPr="004956E9">
        <w:rPr>
          <w:b/>
          <w:bCs/>
          <w:color w:val="000000" w:themeColor="text1"/>
          <w:u w:val="single"/>
          <w:lang w:val="pt-PT"/>
        </w:rPr>
        <w:t>30 000 e 40 000 euros</w:t>
      </w:r>
      <w:r w:rsidRPr="004956E9">
        <w:rPr>
          <w:color w:val="000000" w:themeColor="text1"/>
          <w:lang w:val="pt-PT"/>
        </w:rPr>
        <w:t xml:space="preserve">. O projeto terá </w:t>
      </w:r>
      <w:r w:rsidRPr="004956E9">
        <w:rPr>
          <w:b/>
          <w:bCs/>
          <w:color w:val="000000" w:themeColor="text1"/>
          <w:u w:val="single"/>
          <w:lang w:val="pt-PT"/>
        </w:rPr>
        <w:t>uma duração entre 12</w:t>
      </w:r>
      <w:r w:rsidRPr="004956E9">
        <w:rPr>
          <w:b/>
          <w:bCs/>
          <w:color w:val="000000" w:themeColor="text1"/>
          <w:lang w:val="pt-PT"/>
        </w:rPr>
        <w:t xml:space="preserve"> </w:t>
      </w:r>
      <w:r w:rsidRPr="004956E9">
        <w:rPr>
          <w:b/>
          <w:bCs/>
          <w:color w:val="000000" w:themeColor="text1"/>
          <w:u w:val="single"/>
          <w:lang w:val="pt-PT"/>
        </w:rPr>
        <w:t>e 18 meses.</w:t>
      </w:r>
    </w:p>
    <w:p w14:paraId="50FDB654" w14:textId="3588BDF9" w:rsidR="00AB6BC8" w:rsidRPr="004956E9" w:rsidRDefault="004956E9" w:rsidP="1FF11C30">
      <w:pPr>
        <w:rPr>
          <w:lang w:val="pt-PT"/>
        </w:rPr>
      </w:pPr>
      <w:r w:rsidRPr="004956E9">
        <w:rPr>
          <w:b/>
          <w:color w:val="000000" w:themeColor="text1"/>
          <w:u w:val="single"/>
          <w:lang w:val="pt-PT"/>
        </w:rPr>
        <w:t xml:space="preserve"> </w:t>
      </w:r>
      <w:r w:rsidRPr="004956E9">
        <w:rPr>
          <w:bCs/>
          <w:color w:val="000000" w:themeColor="text1"/>
          <w:lang w:val="pt-PT"/>
        </w:rPr>
        <w:t>A data de início prevista para os projetos selecionados</w:t>
      </w:r>
      <w:r w:rsidRPr="004956E9">
        <w:rPr>
          <w:b/>
          <w:color w:val="000000" w:themeColor="text1"/>
          <w:u w:val="single"/>
          <w:lang w:val="pt-PT"/>
        </w:rPr>
        <w:t xml:space="preserve"> é </w:t>
      </w:r>
      <w:r w:rsidR="00CB5A3C">
        <w:rPr>
          <w:b/>
          <w:color w:val="000000" w:themeColor="text1"/>
          <w:u w:val="single"/>
          <w:lang w:val="pt-PT"/>
        </w:rPr>
        <w:t>Novembro</w:t>
      </w:r>
      <w:r w:rsidRPr="004956E9">
        <w:rPr>
          <w:b/>
          <w:color w:val="000000" w:themeColor="text1"/>
          <w:u w:val="single"/>
          <w:lang w:val="pt-PT"/>
        </w:rPr>
        <w:t xml:space="preserve"> de 2024.</w:t>
      </w:r>
    </w:p>
    <w:p w14:paraId="4649DA81" w14:textId="54DF3EC3" w:rsidR="0046257E" w:rsidRPr="00CB5A3C" w:rsidRDefault="004956E9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CB5A3C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Critérios de elegibilidade</w:t>
      </w:r>
    </w:p>
    <w:p w14:paraId="6388B55F" w14:textId="7541D2A7" w:rsidR="007E074E" w:rsidRPr="004956E9" w:rsidRDefault="004956E9" w:rsidP="00E51056">
      <w:pPr>
        <w:rPr>
          <w:color w:val="000000" w:themeColor="text1"/>
          <w:lang w:val="pt-PT"/>
        </w:rPr>
      </w:pPr>
      <w:r w:rsidRPr="004956E9">
        <w:rPr>
          <w:color w:val="000000" w:themeColor="text1"/>
          <w:lang w:val="pt-PT"/>
        </w:rPr>
        <w:t xml:space="preserve"> A subvenção pode ser recebida por:</w:t>
      </w:r>
    </w:p>
    <w:p w14:paraId="51F495ED" w14:textId="14BCBF15" w:rsidR="00E51056" w:rsidRPr="004956E9" w:rsidRDefault="004956E9" w:rsidP="0075309F">
      <w:pPr>
        <w:pStyle w:val="ListParagraph"/>
        <w:numPr>
          <w:ilvl w:val="0"/>
          <w:numId w:val="5"/>
        </w:numPr>
        <w:spacing w:before="120"/>
        <w:rPr>
          <w:rFonts w:cs="Arial"/>
          <w:color w:val="000000" w:themeColor="text1"/>
          <w:lang w:val="pt-PT"/>
        </w:rPr>
      </w:pPr>
      <w:r w:rsidRPr="004956E9">
        <w:rPr>
          <w:rFonts w:eastAsia="Calibri" w:cs="Arial"/>
          <w:b/>
          <w:bCs/>
          <w:color w:val="000000" w:themeColor="text1"/>
          <w:lang w:val="pt-PT"/>
        </w:rPr>
        <w:t>Organizações da sociedade civil registadas</w:t>
      </w:r>
      <w:r w:rsidRPr="004956E9">
        <w:rPr>
          <w:rFonts w:eastAsia="Calibri" w:cs="Arial"/>
          <w:color w:val="000000" w:themeColor="text1"/>
          <w:lang w:val="pt-PT"/>
        </w:rPr>
        <w:t xml:space="preserve"> que trabalham na proteção e promoção dos valores da UE, incluindo o reforço dos direitos das mulheres e/ou a justiça ambiental e/ou a luta contra a corrupção.</w:t>
      </w:r>
    </w:p>
    <w:p w14:paraId="7DF3670C" w14:textId="13CD8CDA" w:rsidR="009F544E" w:rsidRPr="00667719" w:rsidRDefault="004956E9" w:rsidP="009F544E">
      <w:pPr>
        <w:pStyle w:val="ListParagraph"/>
        <w:numPr>
          <w:ilvl w:val="0"/>
          <w:numId w:val="5"/>
        </w:numPr>
        <w:rPr>
          <w:rFonts w:cs="Arial"/>
          <w:color w:val="000000" w:themeColor="text1"/>
          <w:lang w:val="pt-PT"/>
        </w:rPr>
      </w:pPr>
      <w:r w:rsidRPr="004956E9">
        <w:rPr>
          <w:rFonts w:eastAsia="Calibri" w:cs="Arial"/>
          <w:b/>
          <w:bCs/>
          <w:color w:val="000000" w:themeColor="text1"/>
          <w:lang w:val="pt-PT"/>
        </w:rPr>
        <w:t>As OSC que defendem e respeitam os valores da UE</w:t>
      </w:r>
      <w:r w:rsidRPr="004956E9">
        <w:rPr>
          <w:rFonts w:eastAsia="Calibri" w:cs="Arial"/>
          <w:color w:val="000000" w:themeColor="text1"/>
          <w:lang w:val="pt-PT"/>
        </w:rPr>
        <w:t xml:space="preserve"> no seu trabalho (como o respeito pela dignidade humana, a liberdade, a democracia, a igualdade, o Estado de direito e os direitos humanos, incluindo os direitos das minorias).</w:t>
      </w:r>
    </w:p>
    <w:p w14:paraId="62B5265B" w14:textId="78708509" w:rsidR="0047628A" w:rsidRPr="0047628A" w:rsidRDefault="0047628A" w:rsidP="0047628A">
      <w:pPr>
        <w:rPr>
          <w:rFonts w:cs="Arial"/>
          <w:b/>
          <w:color w:val="000000" w:themeColor="text1"/>
          <w:u w:val="single"/>
          <w:lang w:val="pt-PT"/>
        </w:rPr>
      </w:pPr>
      <w:r w:rsidRPr="0047628A">
        <w:rPr>
          <w:rFonts w:cs="Arial"/>
          <w:b/>
          <w:color w:val="000000" w:themeColor="text1"/>
          <w:u w:val="single"/>
          <w:lang w:val="pt-PT"/>
        </w:rPr>
        <w:lastRenderedPageBreak/>
        <w:t>Critérios de exclusão:</w:t>
      </w:r>
    </w:p>
    <w:p w14:paraId="68CADEDE" w14:textId="440439BE" w:rsidR="00B92BF0" w:rsidRPr="0047628A" w:rsidRDefault="0047628A" w:rsidP="0047628A">
      <w:pPr>
        <w:pStyle w:val="ListParagraph"/>
        <w:numPr>
          <w:ilvl w:val="0"/>
          <w:numId w:val="5"/>
        </w:numPr>
        <w:rPr>
          <w:color w:val="000000" w:themeColor="text1"/>
          <w:lang w:val="pt-PT"/>
        </w:rPr>
      </w:pPr>
      <w:r w:rsidRPr="0047628A">
        <w:rPr>
          <w:b/>
          <w:bCs/>
          <w:color w:val="000000" w:themeColor="text1"/>
          <w:lang w:val="pt-PT"/>
        </w:rPr>
        <w:t>As OSC que violem os valores da UE ou que tenham uma filiação política/religiosa,</w:t>
      </w:r>
      <w:r w:rsidRPr="0047628A">
        <w:rPr>
          <w:color w:val="000000" w:themeColor="text1"/>
          <w:lang w:val="pt-PT"/>
        </w:rPr>
        <w:t xml:space="preserve"> bem como as instituições da administração pública, as agências estatais, as autoridades locais ou regionais, não são elegíveis para este convite.</w:t>
      </w:r>
    </w:p>
    <w:p w14:paraId="16B6DDB9" w14:textId="46D383B1" w:rsidR="00A15A95" w:rsidRPr="0047628A" w:rsidRDefault="0047628A" w:rsidP="00A15A95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47628A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Tipos de atividades elegíveis</w:t>
      </w:r>
    </w:p>
    <w:p w14:paraId="5583496F" w14:textId="4D26DBC1" w:rsidR="0047628A" w:rsidRPr="0047628A" w:rsidRDefault="0047628A" w:rsidP="0047628A">
      <w:pPr>
        <w:pStyle w:val="ListParagraph"/>
        <w:numPr>
          <w:ilvl w:val="0"/>
          <w:numId w:val="5"/>
        </w:numPr>
        <w:spacing w:before="120"/>
        <w:rPr>
          <w:rFonts w:eastAsia="Calibri" w:cs="Arial"/>
          <w:lang w:val="pt-PT"/>
        </w:rPr>
      </w:pPr>
      <w:r w:rsidRPr="0047628A">
        <w:rPr>
          <w:rFonts w:eastAsia="Calibri" w:cs="Arial"/>
          <w:lang w:val="pt-PT"/>
        </w:rPr>
        <w:t>Criação de coligações e reuniões de coordenação;</w:t>
      </w:r>
    </w:p>
    <w:p w14:paraId="28A4FFAB" w14:textId="66C94690" w:rsidR="0047628A" w:rsidRPr="0047628A" w:rsidRDefault="0047628A" w:rsidP="0047628A">
      <w:pPr>
        <w:pStyle w:val="ListParagraph"/>
        <w:numPr>
          <w:ilvl w:val="0"/>
          <w:numId w:val="5"/>
        </w:numPr>
        <w:spacing w:before="120"/>
        <w:rPr>
          <w:rFonts w:eastAsia="Calibri" w:cs="Arial"/>
          <w:lang w:val="pt-PT"/>
        </w:rPr>
      </w:pPr>
      <w:r w:rsidRPr="0047628A">
        <w:rPr>
          <w:rFonts w:eastAsia="Calibri" w:cs="Arial"/>
          <w:lang w:val="pt-PT"/>
        </w:rPr>
        <w:t xml:space="preserve"> Desenvolvimento de estratégias e reuniões de estratégia;</w:t>
      </w:r>
    </w:p>
    <w:p w14:paraId="5CF0FC84" w14:textId="52A4FF24" w:rsidR="0047628A" w:rsidRPr="0047628A" w:rsidRDefault="0047628A" w:rsidP="0047628A">
      <w:pPr>
        <w:pStyle w:val="ListParagraph"/>
        <w:numPr>
          <w:ilvl w:val="0"/>
          <w:numId w:val="5"/>
        </w:numPr>
        <w:spacing w:before="120"/>
        <w:rPr>
          <w:rFonts w:eastAsia="Calibri" w:cs="Arial"/>
          <w:lang w:val="pt-PT"/>
        </w:rPr>
      </w:pPr>
      <w:r w:rsidRPr="0047628A">
        <w:rPr>
          <w:rFonts w:eastAsia="Calibri" w:cs="Arial"/>
          <w:lang w:val="pt-PT"/>
        </w:rPr>
        <w:t xml:space="preserve"> Preparação de documentos políticos com base em estratégias;</w:t>
      </w:r>
    </w:p>
    <w:p w14:paraId="2E2D9933" w14:textId="1EDCF972" w:rsidR="0047628A" w:rsidRPr="0047628A" w:rsidRDefault="0047628A" w:rsidP="0047628A">
      <w:pPr>
        <w:pStyle w:val="ListParagraph"/>
        <w:numPr>
          <w:ilvl w:val="0"/>
          <w:numId w:val="5"/>
        </w:numPr>
        <w:spacing w:before="120"/>
        <w:rPr>
          <w:rFonts w:eastAsia="Calibri" w:cs="Arial"/>
          <w:lang w:val="pt-PT"/>
        </w:rPr>
      </w:pPr>
      <w:r w:rsidRPr="0047628A">
        <w:rPr>
          <w:rFonts w:eastAsia="Calibri" w:cs="Arial"/>
          <w:lang w:val="pt-PT"/>
        </w:rPr>
        <w:t xml:space="preserve"> Desenvolvimento de ferramentas de monitorização e proteção do espaço cívico.</w:t>
      </w:r>
    </w:p>
    <w:p w14:paraId="3A3CF18E" w14:textId="514702CD" w:rsidR="004F692B" w:rsidRPr="0047628A" w:rsidRDefault="0047628A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47628A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Custos elegíveis</w:t>
      </w:r>
    </w:p>
    <w:p w14:paraId="0F0EB0FD" w14:textId="0BBF4F0F" w:rsidR="008C42FF" w:rsidRPr="0047628A" w:rsidRDefault="0047628A" w:rsidP="008C42FF">
      <w:pPr>
        <w:widowControl w:val="0"/>
        <w:rPr>
          <w:rFonts w:eastAsia="Calibri" w:cstheme="majorHAnsi"/>
          <w:i/>
          <w:lang w:val="pt-PT"/>
        </w:rPr>
      </w:pPr>
      <w:r w:rsidRPr="0047628A">
        <w:rPr>
          <w:rFonts w:eastAsia="Calibri" w:cstheme="majorHAnsi"/>
          <w:lang w:val="pt-PT"/>
        </w:rPr>
        <w:t xml:space="preserve">O desenvolvimento de um orçamento realista é crucial para uma implementação bem-sucedida das atividades do projeto. Os custos </w:t>
      </w:r>
      <w:r w:rsidRPr="0047628A">
        <w:rPr>
          <w:rFonts w:eastAsia="Calibri" w:cstheme="majorHAnsi"/>
          <w:b/>
          <w:bCs/>
          <w:lang w:val="pt-PT"/>
        </w:rPr>
        <w:t>podem incluir (mas não estão limitados a):</w:t>
      </w:r>
    </w:p>
    <w:p w14:paraId="5129A907" w14:textId="667F4A06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Despesas de pessoal;</w:t>
      </w:r>
    </w:p>
    <w:p w14:paraId="53124AAA" w14:textId="06AF3766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Viagens e alojamento;</w:t>
      </w:r>
    </w:p>
    <w:p w14:paraId="71B2DFE7" w14:textId="20C6D391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Comunicação e divulgação;</w:t>
      </w:r>
    </w:p>
    <w:p w14:paraId="7B70669D" w14:textId="3CE4636B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Investigação e recolha de dados;</w:t>
      </w:r>
    </w:p>
    <w:p w14:paraId="4EF32833" w14:textId="77777777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Formação e reforço das capacidades;</w:t>
      </w:r>
    </w:p>
    <w:p w14:paraId="0C3533FC" w14:textId="3C47BC2B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Advocacia e lobbying;</w:t>
      </w:r>
    </w:p>
    <w:p w14:paraId="0048D5E3" w14:textId="270A9E5B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Tecnologia e equipamento;</w:t>
      </w:r>
    </w:p>
    <w:p w14:paraId="01CED77D" w14:textId="5D69CFA4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Aluguer de instalações;</w:t>
      </w:r>
    </w:p>
    <w:p w14:paraId="6D65338F" w14:textId="77777777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Tradução e interpretação;</w:t>
      </w:r>
    </w:p>
    <w:p w14:paraId="5A1E06C0" w14:textId="77777777" w:rsidR="0047628A" w:rsidRPr="0047628A" w:rsidRDefault="0047628A" w:rsidP="0047628A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Despesas administrativas/material de escritório;</w:t>
      </w:r>
    </w:p>
    <w:p w14:paraId="78B941EC" w14:textId="3FED3A5F" w:rsidR="004956E9" w:rsidRPr="00667719" w:rsidRDefault="0047628A" w:rsidP="004956E9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</w:pPr>
      <w:r w:rsidRPr="0047628A">
        <w:rPr>
          <w:rFonts w:eastAsia="Calibri" w:cstheme="majorHAnsi"/>
          <w:b w:val="0"/>
          <w:color w:val="000000" w:themeColor="text1"/>
          <w:sz w:val="22"/>
          <w:szCs w:val="22"/>
          <w:lang w:val="pt-PT"/>
        </w:rPr>
        <w:t>Custos associados ao acompanhamento do progresso do projeto e à avaliação do impacto das atividades do projeto.</w:t>
      </w:r>
    </w:p>
    <w:p w14:paraId="18341DED" w14:textId="04029622" w:rsidR="1FF11C30" w:rsidRPr="0047628A" w:rsidRDefault="0047628A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47628A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Custos não elegíveis</w:t>
      </w:r>
    </w:p>
    <w:p w14:paraId="7C1B9267" w14:textId="38822FD7" w:rsidR="1FF11C30" w:rsidRPr="00E63363" w:rsidRDefault="00E63363" w:rsidP="1FF11C30">
      <w:pPr>
        <w:spacing w:after="0" w:line="240" w:lineRule="auto"/>
        <w:rPr>
          <w:b/>
          <w:lang w:val="pt-PT"/>
        </w:rPr>
      </w:pPr>
      <w:r w:rsidRPr="00E63363">
        <w:rPr>
          <w:bCs/>
          <w:lang w:val="pt-PT"/>
        </w:rPr>
        <w:t xml:space="preserve">O orçamento deve estar em conformidade com as atividades descritas no formulário de candidatura. As seguintes atividades e despesas </w:t>
      </w:r>
      <w:r w:rsidRPr="00E63363">
        <w:rPr>
          <w:b/>
          <w:lang w:val="pt-PT"/>
        </w:rPr>
        <w:t>não são elegíveis no âmbito do presente convite:</w:t>
      </w:r>
    </w:p>
    <w:p w14:paraId="4D4BCA68" w14:textId="69A2B82B" w:rsidR="1FF11C30" w:rsidRPr="00E63363" w:rsidRDefault="1FF11C30" w:rsidP="1FF11C30">
      <w:pPr>
        <w:spacing w:after="0" w:line="240" w:lineRule="auto"/>
        <w:rPr>
          <w:lang w:val="pt-PT"/>
        </w:rPr>
      </w:pPr>
    </w:p>
    <w:p w14:paraId="2B292035" w14:textId="2D1AB773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bookmarkStart w:id="1" w:name="_Toc118188895"/>
      <w:bookmarkEnd w:id="0"/>
      <w:r w:rsidRPr="00E63363">
        <w:rPr>
          <w:lang w:val="pt-PT"/>
        </w:rPr>
        <w:t>Despesas pessoais (quaisquer despesas de natureza pessoal, como contas telefónicas pessoais, compras pessoais ou viagens pessoais não diretamente relacionadas com o projeto);</w:t>
      </w:r>
    </w:p>
    <w:p w14:paraId="536036B6" w14:textId="77777777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r w:rsidRPr="00E63363">
        <w:rPr>
          <w:lang w:val="pt-PT"/>
        </w:rPr>
        <w:t xml:space="preserve">Atividades anteriores (custos relacionados com atividades realizadas antes da assinatura da convenção de subvenção); </w:t>
      </w:r>
    </w:p>
    <w:p w14:paraId="6CE2DD64" w14:textId="77777777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r w:rsidRPr="00E63363">
        <w:rPr>
          <w:lang w:val="pt-PT"/>
        </w:rPr>
        <w:t>Apoio humanitário a terceiros;</w:t>
      </w:r>
    </w:p>
    <w:p w14:paraId="64DE2FB9" w14:textId="3B3EA23D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r w:rsidRPr="00E63363">
        <w:rPr>
          <w:lang w:val="pt-PT"/>
        </w:rPr>
        <w:lastRenderedPageBreak/>
        <w:t>Despesas médicas ou quaisquer outras despesas inesperadas (de emergência);</w:t>
      </w:r>
    </w:p>
    <w:p w14:paraId="3AD9B0FC" w14:textId="1EB2FECF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r w:rsidRPr="00E63363">
        <w:rPr>
          <w:lang w:val="pt-PT"/>
        </w:rPr>
        <w:t>Atividades comerciais;</w:t>
      </w:r>
    </w:p>
    <w:p w14:paraId="4C679926" w14:textId="13F0BA61" w:rsidR="00E63363" w:rsidRPr="00E63363" w:rsidRDefault="00E63363" w:rsidP="00E63363">
      <w:pPr>
        <w:pStyle w:val="ListParagraph"/>
        <w:ind w:left="850"/>
        <w:rPr>
          <w:lang w:val="pt-PT"/>
        </w:rPr>
      </w:pPr>
      <w:r w:rsidRPr="00E63363">
        <w:rPr>
          <w:lang w:val="pt-PT"/>
        </w:rPr>
        <w:t xml:space="preserve">Projetos de </w:t>
      </w:r>
      <w:r w:rsidR="00667719" w:rsidRPr="00E63363">
        <w:rPr>
          <w:lang w:val="pt-PT"/>
        </w:rPr>
        <w:t>infraestruturas</w:t>
      </w:r>
      <w:r w:rsidRPr="00E63363">
        <w:rPr>
          <w:lang w:val="pt-PT"/>
        </w:rPr>
        <w:t xml:space="preserve"> (construção de estradas, pontes, edifícios, etc.);</w:t>
      </w:r>
    </w:p>
    <w:p w14:paraId="3D6B2C55" w14:textId="281D9F13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r w:rsidRPr="00E63363">
        <w:rPr>
          <w:lang w:val="pt-PT"/>
        </w:rPr>
        <w:t xml:space="preserve">Despesas de capital (despesas com a aquisição de </w:t>
      </w:r>
      <w:r w:rsidR="00667719" w:rsidRPr="00E63363">
        <w:rPr>
          <w:lang w:val="pt-PT"/>
        </w:rPr>
        <w:t>ativos</w:t>
      </w:r>
      <w:r w:rsidRPr="00E63363">
        <w:rPr>
          <w:lang w:val="pt-PT"/>
        </w:rPr>
        <w:t xml:space="preserve"> fixos, tais como edifícios ou terrenos); </w:t>
      </w:r>
    </w:p>
    <w:p w14:paraId="53909770" w14:textId="7C259874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r w:rsidRPr="00E63363">
        <w:rPr>
          <w:lang w:val="pt-PT"/>
        </w:rPr>
        <w:t>Atividades políticas ou religiosas;</w:t>
      </w:r>
    </w:p>
    <w:p w14:paraId="6D0E865E" w14:textId="5D1EADE2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r w:rsidRPr="00E63363">
        <w:rPr>
          <w:lang w:val="pt-PT"/>
        </w:rPr>
        <w:t>Aquisição de artigos não essenciais (custos ou artigos não diretamente essenciais para a execução do projeto);</w:t>
      </w:r>
    </w:p>
    <w:p w14:paraId="3C652F3D" w14:textId="4DDE1E02" w:rsidR="00E63363" w:rsidRPr="00E63363" w:rsidRDefault="00E63363" w:rsidP="00E63363">
      <w:pPr>
        <w:pStyle w:val="ListParagraph"/>
        <w:numPr>
          <w:ilvl w:val="0"/>
          <w:numId w:val="3"/>
        </w:numPr>
        <w:rPr>
          <w:lang w:val="pt-PT"/>
        </w:rPr>
      </w:pPr>
      <w:r w:rsidRPr="00E63363">
        <w:rPr>
          <w:lang w:val="pt-PT"/>
        </w:rPr>
        <w:t>Projetos prejudiciais para o ambiente</w:t>
      </w:r>
      <w:r>
        <w:rPr>
          <w:lang w:val="pt-PT"/>
        </w:rPr>
        <w:t>.</w:t>
      </w:r>
    </w:p>
    <w:p w14:paraId="046DE5D2" w14:textId="702BDB8F" w:rsidR="006568B3" w:rsidRPr="00E63363" w:rsidRDefault="006568B3" w:rsidP="00E30901">
      <w:pPr>
        <w:pStyle w:val="ListParagraph"/>
        <w:ind w:left="1068"/>
        <w:rPr>
          <w:sz w:val="24"/>
          <w:szCs w:val="24"/>
          <w:lang w:val="pt-PT"/>
        </w:rPr>
      </w:pPr>
    </w:p>
    <w:bookmarkEnd w:id="1"/>
    <w:p w14:paraId="05F2316D" w14:textId="61F27512" w:rsidR="000D2109" w:rsidRPr="00CB5A3C" w:rsidRDefault="00F87E11" w:rsidP="001936CC">
      <w:pPr>
        <w:pStyle w:val="Heading1"/>
        <w:keepNext w:val="0"/>
        <w:keepLines w:val="0"/>
        <w:tabs>
          <w:tab w:val="left" w:pos="5680"/>
        </w:tabs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CB5A3C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Processo de candidatura</w:t>
      </w:r>
      <w:r w:rsidR="001936CC" w:rsidRPr="00CB5A3C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ab/>
      </w:r>
    </w:p>
    <w:p w14:paraId="7BA0C225" w14:textId="04ACBF0D" w:rsidR="00F87E11" w:rsidRPr="00F87E11" w:rsidRDefault="00F87E11" w:rsidP="1FF11C30">
      <w:pPr>
        <w:rPr>
          <w:b/>
          <w:color w:val="0000FF"/>
          <w:u w:val="single"/>
          <w:lang w:val="pt-PT"/>
        </w:rPr>
      </w:pPr>
      <w:r w:rsidRPr="00F87E11">
        <w:rPr>
          <w:bCs/>
          <w:lang w:val="pt-PT"/>
        </w:rPr>
        <w:t xml:space="preserve">As organizações interessadas são encorajadas a </w:t>
      </w:r>
      <w:r w:rsidR="00991EA6">
        <w:rPr>
          <w:b/>
          <w:bCs/>
          <w:lang w:val="pt-PT"/>
        </w:rPr>
        <w:fldChar w:fldCharType="begin"/>
      </w:r>
      <w:r w:rsidR="00991EA6">
        <w:rPr>
          <w:b/>
          <w:bCs/>
          <w:lang w:val="pt-PT"/>
        </w:rPr>
        <w:instrText xml:space="preserve"> HYPERLINK "https://app.smartsheet.com/b/form/143577faa31f473cab9d2eca9f1c1054" </w:instrText>
      </w:r>
      <w:r w:rsidR="00991EA6">
        <w:rPr>
          <w:b/>
          <w:bCs/>
          <w:lang w:val="pt-PT"/>
        </w:rPr>
      </w:r>
      <w:r w:rsidR="00991EA6">
        <w:rPr>
          <w:b/>
          <w:bCs/>
          <w:lang w:val="pt-PT"/>
        </w:rPr>
        <w:fldChar w:fldCharType="separate"/>
      </w:r>
      <w:r w:rsidRPr="00991EA6">
        <w:rPr>
          <w:rStyle w:val="Hyperlink"/>
          <w:b/>
          <w:bCs/>
          <w:lang w:val="pt-PT"/>
        </w:rPr>
        <w:t>APRESENTAR A SUA CANDIDATURA ELECTRÓNICA</w:t>
      </w:r>
      <w:r w:rsidR="00991EA6">
        <w:rPr>
          <w:b/>
          <w:bCs/>
          <w:lang w:val="pt-PT"/>
        </w:rPr>
        <w:fldChar w:fldCharType="end"/>
      </w:r>
      <w:r w:rsidRPr="00F87E11">
        <w:rPr>
          <w:bCs/>
          <w:lang w:val="pt-PT"/>
        </w:rPr>
        <w:t xml:space="preserve"> em inglês ou na sua respetiva língua, o mais tardar</w:t>
      </w:r>
      <w:r w:rsidRPr="00F87E11">
        <w:rPr>
          <w:b/>
          <w:u w:val="single"/>
          <w:lang w:val="pt-PT"/>
        </w:rPr>
        <w:t xml:space="preserve"> </w:t>
      </w:r>
      <w:r w:rsidR="00AC69EB">
        <w:rPr>
          <w:b/>
          <w:color w:val="0000FF"/>
          <w:u w:val="single"/>
          <w:lang w:val="pt-PT"/>
        </w:rPr>
        <w:t>até 22 de Outubro</w:t>
      </w:r>
      <w:r w:rsidRPr="00F87E11">
        <w:rPr>
          <w:b/>
          <w:color w:val="0000FF"/>
          <w:u w:val="single"/>
          <w:lang w:val="pt-PT"/>
        </w:rPr>
        <w:t xml:space="preserve"> de 2024.</w:t>
      </w:r>
    </w:p>
    <w:p w14:paraId="3B1F5E3E" w14:textId="593DD25B" w:rsidR="00FB5E22" w:rsidRPr="00F87E11" w:rsidRDefault="00F87E11" w:rsidP="1FF11C30">
      <w:pPr>
        <w:rPr>
          <w:lang w:val="pt-PT"/>
        </w:rPr>
      </w:pPr>
      <w:r w:rsidRPr="00F87E11">
        <w:rPr>
          <w:lang w:val="pt-PT"/>
        </w:rPr>
        <w:t>Devem ser anexados os seguintes documentos:</w:t>
      </w:r>
    </w:p>
    <w:p w14:paraId="454A6A03" w14:textId="5FF56AE9" w:rsidR="00F87E11" w:rsidRPr="00F87E11" w:rsidRDefault="00F87E11" w:rsidP="00F87E11">
      <w:pPr>
        <w:pStyle w:val="ListParagraph"/>
        <w:numPr>
          <w:ilvl w:val="0"/>
          <w:numId w:val="3"/>
        </w:numPr>
        <w:rPr>
          <w:lang w:val="pt-PT"/>
        </w:rPr>
      </w:pPr>
      <w:r w:rsidRPr="00F87E11">
        <w:rPr>
          <w:b/>
          <w:bCs/>
          <w:lang w:val="pt-PT"/>
        </w:rPr>
        <w:t>Formulário de candidatura completo</w:t>
      </w:r>
      <w:r w:rsidRPr="00F87E11">
        <w:rPr>
          <w:lang w:val="pt-PT"/>
        </w:rPr>
        <w:t xml:space="preserve"> (responder a todas as perguntas);</w:t>
      </w:r>
    </w:p>
    <w:p w14:paraId="52D1D0A7" w14:textId="32835231" w:rsidR="00F87E11" w:rsidRPr="00F87E11" w:rsidRDefault="00F87E11" w:rsidP="00F87E11">
      <w:pPr>
        <w:pStyle w:val="ListParagraph"/>
        <w:numPr>
          <w:ilvl w:val="0"/>
          <w:numId w:val="3"/>
        </w:numPr>
        <w:rPr>
          <w:lang w:val="pt-PT"/>
        </w:rPr>
      </w:pPr>
      <w:r w:rsidRPr="00F87E11">
        <w:rPr>
          <w:b/>
          <w:bCs/>
          <w:lang w:val="pt-PT"/>
        </w:rPr>
        <w:t>Formulário de orçamento preenchido</w:t>
      </w:r>
      <w:r w:rsidRPr="00F87E11">
        <w:rPr>
          <w:lang w:val="pt-PT"/>
        </w:rPr>
        <w:t xml:space="preserve"> (descarregar o modelo);</w:t>
      </w:r>
    </w:p>
    <w:p w14:paraId="563E6F28" w14:textId="376A2229" w:rsidR="00F87E11" w:rsidRPr="00F87E11" w:rsidRDefault="00F87E11" w:rsidP="00F87E11">
      <w:pPr>
        <w:pStyle w:val="ListParagraph"/>
        <w:numPr>
          <w:ilvl w:val="0"/>
          <w:numId w:val="3"/>
        </w:numPr>
        <w:rPr>
          <w:lang w:val="pt-PT"/>
        </w:rPr>
      </w:pPr>
      <w:r w:rsidRPr="00F87E11">
        <w:rPr>
          <w:b/>
          <w:bCs/>
          <w:lang w:val="pt-PT"/>
        </w:rPr>
        <w:t>Certificado de registo</w:t>
      </w:r>
      <w:r w:rsidRPr="00F87E11">
        <w:rPr>
          <w:lang w:val="pt-PT"/>
        </w:rPr>
        <w:t xml:space="preserve"> da organização ou um comprovativo de registo de anos anteriores;</w:t>
      </w:r>
    </w:p>
    <w:p w14:paraId="2BA6E12A" w14:textId="7EE9EDB0" w:rsidR="00F87E11" w:rsidRPr="00F87E11" w:rsidRDefault="00F87E11" w:rsidP="00F87E11">
      <w:pPr>
        <w:pStyle w:val="ListParagraph"/>
        <w:numPr>
          <w:ilvl w:val="0"/>
          <w:numId w:val="3"/>
        </w:numPr>
        <w:rPr>
          <w:b/>
          <w:bCs/>
          <w:lang w:val="pt-PT"/>
        </w:rPr>
      </w:pPr>
      <w:r w:rsidRPr="00F87E11">
        <w:rPr>
          <w:b/>
          <w:bCs/>
          <w:lang w:val="pt-PT"/>
        </w:rPr>
        <w:t>Estatutos da organização.</w:t>
      </w:r>
    </w:p>
    <w:p w14:paraId="0631BEAA" w14:textId="395BCB0C" w:rsidR="00F87E11" w:rsidRPr="00F87E11" w:rsidRDefault="00F87E11" w:rsidP="1FF11C30">
      <w:pPr>
        <w:rPr>
          <w:lang w:val="pt-PT"/>
        </w:rPr>
      </w:pPr>
      <w:r w:rsidRPr="00F87E11">
        <w:rPr>
          <w:lang w:val="pt-PT"/>
        </w:rPr>
        <w:t xml:space="preserve">Para questões relacionadas com o convite à apresentação de propostas ou com o procedimento de candidatura, envie-nos um e-mail para </w:t>
      </w:r>
      <w:r w:rsidR="00AC69EB">
        <w:rPr>
          <w:b/>
          <w:bCs/>
          <w:color w:val="548DD4" w:themeColor="text2" w:themeTint="99"/>
          <w:lang w:val="pt-PT"/>
        </w:rPr>
        <w:t>hrd@nhc.nl até 6 de Outubro</w:t>
      </w:r>
      <w:r w:rsidRPr="00F87E11">
        <w:rPr>
          <w:b/>
          <w:bCs/>
          <w:color w:val="548DD4" w:themeColor="text2" w:themeTint="99"/>
          <w:lang w:val="pt-PT"/>
        </w:rPr>
        <w:t xml:space="preserve"> de 2024.</w:t>
      </w:r>
    </w:p>
    <w:p w14:paraId="1C3F414C" w14:textId="743D3A14" w:rsidR="00667719" w:rsidRPr="00991EA6" w:rsidRDefault="00F87E11" w:rsidP="00991EA6">
      <w:pPr>
        <w:rPr>
          <w:lang w:val="pt-PT"/>
        </w:rPr>
      </w:pPr>
      <w:r w:rsidRPr="00F87E11">
        <w:rPr>
          <w:b/>
          <w:bCs/>
          <w:lang w:val="pt-PT"/>
        </w:rPr>
        <w:t>Só serão avaliadas</w:t>
      </w:r>
      <w:r w:rsidRPr="00F87E11">
        <w:rPr>
          <w:lang w:val="pt-PT"/>
        </w:rPr>
        <w:t xml:space="preserve"> </w:t>
      </w:r>
      <w:r w:rsidRPr="00F87E11">
        <w:rPr>
          <w:b/>
          <w:bCs/>
          <w:lang w:val="pt-PT"/>
        </w:rPr>
        <w:t>as candidaturas completas,</w:t>
      </w:r>
      <w:r w:rsidRPr="00F87E11">
        <w:rPr>
          <w:lang w:val="pt-PT"/>
        </w:rPr>
        <w:t xml:space="preserve"> constituídas por um formulário eletrónico de candidatura preenchido e por todos os documentos adicionais solicitados.</w:t>
      </w:r>
      <w:bookmarkStart w:id="2" w:name="_GoBack"/>
      <w:bookmarkEnd w:id="2"/>
    </w:p>
    <w:p w14:paraId="3CEA42B0" w14:textId="764A522B" w:rsidR="0080009D" w:rsidRPr="00DE650E" w:rsidRDefault="0080009D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</w:pPr>
      <w:r w:rsidRPr="00DE650E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Process</w:t>
      </w:r>
      <w:r w:rsidR="00DE650E" w:rsidRPr="00DE650E">
        <w:rPr>
          <w:rFonts w:cs="Times New Roman"/>
          <w:bCs/>
          <w:color w:val="0000FF"/>
          <w:kern w:val="36"/>
          <w:sz w:val="36"/>
          <w:szCs w:val="36"/>
          <w:lang w:val="pt-PT" w:eastAsia="en-US"/>
        </w:rPr>
        <w:t>o de Seleção</w:t>
      </w:r>
    </w:p>
    <w:p w14:paraId="6B0DC77C" w14:textId="5BF8FB2A" w:rsidR="002905C1" w:rsidRPr="002B0DFB" w:rsidRDefault="00DE650E" w:rsidP="00463726">
      <w:pPr>
        <w:tabs>
          <w:tab w:val="left" w:pos="1115"/>
        </w:tabs>
        <w:rPr>
          <w:b/>
        </w:rPr>
      </w:pPr>
      <w:r w:rsidRPr="00DE650E">
        <w:rPr>
          <w:bCs/>
          <w:lang w:val="pt-PT"/>
        </w:rPr>
        <w:t>Um comité de avaliação independente avaliará as propostas apresentadas, composto por três peritos com poder de voto, um presidente e um secretário. O grupo de peritos será composto por peritos afiliados à NHC e/ou aos parceiros da NHC nos países</w:t>
      </w:r>
      <w:r w:rsidRPr="00DE650E">
        <w:rPr>
          <w:b/>
          <w:lang w:val="pt-PT"/>
        </w:rPr>
        <w:t xml:space="preserve">. </w:t>
      </w:r>
      <w:r w:rsidRPr="00DE650E">
        <w:rPr>
          <w:b/>
        </w:rPr>
        <w:t xml:space="preserve">A </w:t>
      </w:r>
      <w:proofErr w:type="spellStart"/>
      <w:r w:rsidRPr="00DE650E">
        <w:rPr>
          <w:b/>
        </w:rPr>
        <w:t>avaliação</w:t>
      </w:r>
      <w:proofErr w:type="spellEnd"/>
      <w:r w:rsidRPr="00DE650E">
        <w:rPr>
          <w:b/>
        </w:rPr>
        <w:t xml:space="preserve"> </w:t>
      </w:r>
      <w:proofErr w:type="spellStart"/>
      <w:r w:rsidRPr="00DE650E">
        <w:rPr>
          <w:b/>
        </w:rPr>
        <w:t>basear</w:t>
      </w:r>
      <w:proofErr w:type="spellEnd"/>
      <w:r w:rsidRPr="00DE650E">
        <w:rPr>
          <w:b/>
        </w:rPr>
        <w:t xml:space="preserve">-se-á </w:t>
      </w:r>
      <w:proofErr w:type="spellStart"/>
      <w:r w:rsidRPr="00DE650E">
        <w:rPr>
          <w:b/>
        </w:rPr>
        <w:t>nos</w:t>
      </w:r>
      <w:proofErr w:type="spellEnd"/>
      <w:r w:rsidRPr="00DE650E">
        <w:rPr>
          <w:b/>
        </w:rPr>
        <w:t xml:space="preserve"> </w:t>
      </w:r>
      <w:proofErr w:type="spellStart"/>
      <w:r w:rsidRPr="00DE650E">
        <w:rPr>
          <w:b/>
        </w:rPr>
        <w:t>seguintes</w:t>
      </w:r>
      <w:proofErr w:type="spellEnd"/>
      <w:r w:rsidRPr="00DE650E">
        <w:rPr>
          <w:b/>
        </w:rPr>
        <w:t xml:space="preserve"> </w:t>
      </w:r>
      <w:proofErr w:type="spellStart"/>
      <w:r w:rsidRPr="00DE650E">
        <w:rPr>
          <w:b/>
        </w:rPr>
        <w:t>critérios</w:t>
      </w:r>
      <w:proofErr w:type="spellEnd"/>
      <w:r w:rsidRPr="00DE650E">
        <w:rPr>
          <w:b/>
        </w:rPr>
        <w:t>:</w:t>
      </w:r>
    </w:p>
    <w:p w14:paraId="7989DA1A" w14:textId="0A8521FE" w:rsidR="001D51A4" w:rsidRPr="009F544E" w:rsidRDefault="001D51A4" w:rsidP="009F544E">
      <w:pPr>
        <w:tabs>
          <w:tab w:val="left" w:pos="1115"/>
        </w:tabs>
        <w:rPr>
          <w:b/>
          <w:sz w:val="24"/>
          <w:szCs w:val="24"/>
        </w:rPr>
      </w:pPr>
    </w:p>
    <w:tbl>
      <w:tblPr>
        <w:tblW w:w="929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6763"/>
        <w:gridCol w:w="1834"/>
      </w:tblGrid>
      <w:tr w:rsidR="009E3BDE" w:rsidRPr="008617B6" w14:paraId="5980D35B" w14:textId="77777777" w:rsidTr="00933902">
        <w:trPr>
          <w:trHeight w:val="539"/>
        </w:trPr>
        <w:tc>
          <w:tcPr>
            <w:tcW w:w="701" w:type="dxa"/>
            <w:shd w:val="clear" w:color="auto" w:fill="0867F2"/>
            <w:vAlign w:val="center"/>
            <w:hideMark/>
          </w:tcPr>
          <w:p w14:paraId="2C4AE8E2" w14:textId="77777777" w:rsidR="009E3BDE" w:rsidRPr="005F7CA3" w:rsidRDefault="009E3BDE" w:rsidP="006D60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F7CA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6763" w:type="dxa"/>
            <w:shd w:val="clear" w:color="auto" w:fill="0867F2"/>
            <w:vAlign w:val="center"/>
            <w:hideMark/>
          </w:tcPr>
          <w:p w14:paraId="50D4F839" w14:textId="56C8DB55" w:rsidR="009E3BDE" w:rsidRPr="005F7CA3" w:rsidRDefault="009E3BDE" w:rsidP="006D60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5F7CA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Criteri</w:t>
            </w:r>
            <w:r w:rsidR="00DE650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os</w:t>
            </w:r>
            <w:proofErr w:type="spellEnd"/>
          </w:p>
        </w:tc>
        <w:tc>
          <w:tcPr>
            <w:tcW w:w="1834" w:type="dxa"/>
            <w:shd w:val="clear" w:color="auto" w:fill="0867F2"/>
            <w:vAlign w:val="center"/>
            <w:hideMark/>
          </w:tcPr>
          <w:p w14:paraId="15437F8C" w14:textId="77777777" w:rsidR="009E3BDE" w:rsidRPr="005F7CA3" w:rsidRDefault="009E3BDE" w:rsidP="006D6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F7CA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Maximum score</w:t>
            </w:r>
          </w:p>
        </w:tc>
      </w:tr>
      <w:tr w:rsidR="009E3BDE" w:rsidRPr="008617B6" w14:paraId="1F6F86E0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3E393E6C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351C9272" w14:textId="39A6EA31" w:rsidR="009E3BDE" w:rsidRPr="00F87E11" w:rsidRDefault="00DE650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Qual a relevância da proposta para os objetivos e prioridades do convite à apresentação de propostas?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242AF7C2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</w:tr>
      <w:tr w:rsidR="009E3BDE" w:rsidRPr="008617B6" w14:paraId="2B61380E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1495F819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585B9DD0" w14:textId="50A5E28A" w:rsidR="009E3BDE" w:rsidRPr="00F87E11" w:rsidRDefault="00DE650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Qual a relevância da proposta para as necessidades e constrangimentos específicos dos grupos-alvo?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4DC22062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Source Sans Pro" w:cs="Arial"/>
                <w:sz w:val="20"/>
                <w:szCs w:val="20"/>
              </w:rPr>
            </w:pPr>
            <w:r w:rsidRPr="009E3BDE">
              <w:rPr>
                <w:rFonts w:eastAsia="Source Sans Pro" w:cs="Arial"/>
                <w:sz w:val="20"/>
                <w:szCs w:val="20"/>
              </w:rPr>
              <w:t>15</w:t>
            </w:r>
          </w:p>
        </w:tc>
      </w:tr>
      <w:tr w:rsidR="009E3BDE" w:rsidRPr="008617B6" w14:paraId="2D77A7E8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4BB02C81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40A82C47" w14:textId="162724AB" w:rsidR="009E3BDE" w:rsidRPr="00F87E11" w:rsidRDefault="00DE650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Qual é a coerência da conceção da ação? A proposta indica os resultados esperados da ação? A lógica de intervenção explica a lógica para alcançar os resultados esperados? As atividades propostas são adequadas, práticas e coerentes com o(s) resultado(s) previsto(s)?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EB76A5A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</w:tr>
      <w:tr w:rsidR="009E3BDE" w:rsidRPr="008617B6" w14:paraId="57293711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6271455F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2E7F4267" w14:textId="7547618E" w:rsidR="009E3BDE" w:rsidRPr="00F87E11" w:rsidRDefault="00DE650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O plano de ação para a execução da ação é claro e exequível? O calendário é realista?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63232AAE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8617B6" w14:paraId="403BF7CB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6332698E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20085962" w14:textId="7D57DA44" w:rsidR="009E3BDE" w:rsidRPr="00F87E11" w:rsidRDefault="00DA3EC2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Experiência da organização no estabelecimento e manutenção de parcerias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B59D48C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8617B6" w14:paraId="22960060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579E072D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648640C8" w14:textId="6662B187" w:rsidR="009E3BDE" w:rsidRPr="00F87E11" w:rsidRDefault="00DA3EC2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Participação anterior em iniciativas de formação de coligações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D702707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8617B6" w14:paraId="6A7DB4AF" w14:textId="77777777" w:rsidTr="00DA3EC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6F992BA1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622BA7A3" w14:textId="412B6CA5" w:rsidR="009E3BDE" w:rsidRPr="00F87E11" w:rsidRDefault="00DA3EC2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A proposta inclui um sistema de controlo eficaz e eficiente?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3FCB04A3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8617B6" w14:paraId="2C9524D7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738984BF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7DB69828" w14:textId="013A9954" w:rsidR="009E3BDE" w:rsidRPr="00F87E11" w:rsidRDefault="00DA3EC2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Orçamento realista e viável (as atividades estão devidamente refletidas no orçamento?)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0F831A3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8617B6" w14:paraId="269AA2A8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70B311C9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20BE4960" w14:textId="58B90CF4" w:rsidR="009E3BDE" w:rsidRPr="00F87E11" w:rsidRDefault="00DA3EC2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Análise dos riscos e medidas de atenuação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F11BD5E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8617B6" w14:paraId="054586EE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155EC2E7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6F67D069" w14:textId="30B7DD3F" w:rsidR="009E3BDE" w:rsidRPr="00F87E11" w:rsidRDefault="00DA3EC2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</w:pPr>
            <w:r w:rsidRPr="00F87E11">
              <w:rPr>
                <w:rFonts w:eastAsia="Times New Roman" w:cs="Arial"/>
                <w:color w:val="000000"/>
                <w:sz w:val="20"/>
                <w:szCs w:val="20"/>
                <w:lang w:val="pt-PT"/>
              </w:rPr>
              <w:t>Sustentabilidade das atividades após o termo do projeto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CB34AB2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543A7F" w14:paraId="01CDAA56" w14:textId="77777777" w:rsidTr="00933902">
        <w:trPr>
          <w:trHeight w:val="557"/>
        </w:trPr>
        <w:tc>
          <w:tcPr>
            <w:tcW w:w="7464" w:type="dxa"/>
            <w:gridSpan w:val="2"/>
            <w:shd w:val="clear" w:color="auto" w:fill="auto"/>
            <w:vAlign w:val="center"/>
            <w:hideMark/>
          </w:tcPr>
          <w:p w14:paraId="5755FA1A" w14:textId="77777777" w:rsidR="009E3BDE" w:rsidRPr="009E3BDE" w:rsidRDefault="009E3BDE" w:rsidP="006D606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Total: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1868A6A4" w14:textId="77777777" w:rsidR="009E3BDE" w:rsidRPr="009E3BDE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14:paraId="186BF68D" w14:textId="282CF7CD" w:rsidR="009E3BDE" w:rsidRDefault="009353E9" w:rsidP="00E241C8">
      <w:pPr>
        <w:rPr>
          <w:rFonts w:cs="Arial"/>
          <w:color w:val="000000" w:themeColor="text1"/>
          <w:sz w:val="24"/>
          <w:szCs w:val="24"/>
          <w:shd w:val="clear" w:color="auto" w:fill="FFFFFF"/>
        </w:rPr>
      </w:pPr>
      <w:r>
        <w:rPr>
          <w:rFonts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7DC9A865" w14:textId="439F6E64" w:rsidR="00DA3EC2" w:rsidRPr="00DA3EC2" w:rsidRDefault="00DA3EC2" w:rsidP="00E241C8">
      <w:pPr>
        <w:rPr>
          <w:rFonts w:cs="Arial"/>
          <w:b/>
          <w:color w:val="000000" w:themeColor="text1"/>
          <w:lang w:val="pt-PT"/>
        </w:rPr>
      </w:pPr>
      <w:r w:rsidRPr="00DA3EC2">
        <w:rPr>
          <w:rFonts w:cs="Arial"/>
          <w:bCs/>
          <w:color w:val="000000" w:themeColor="text1"/>
          <w:lang w:val="pt-PT"/>
        </w:rPr>
        <w:t>A pontuação mínima para receber subvenções é de</w:t>
      </w:r>
      <w:r w:rsidRPr="00DA3EC2">
        <w:rPr>
          <w:rFonts w:cs="Arial"/>
          <w:b/>
          <w:color w:val="000000" w:themeColor="text1"/>
          <w:lang w:val="pt-PT"/>
        </w:rPr>
        <w:t xml:space="preserve"> 70 pontos.</w:t>
      </w:r>
    </w:p>
    <w:p w14:paraId="7891B85A" w14:textId="4309BF95" w:rsidR="00D0152C" w:rsidRPr="00DA3EC2" w:rsidRDefault="00DA3EC2" w:rsidP="00DA3EC2">
      <w:pPr>
        <w:rPr>
          <w:b/>
          <w:bCs/>
          <w:u w:val="single"/>
          <w:lang w:val="pt-PT"/>
        </w:rPr>
      </w:pPr>
      <w:r w:rsidRPr="00DA3EC2">
        <w:rPr>
          <w:lang w:val="pt-PT"/>
        </w:rPr>
        <w:t xml:space="preserve">Os candidatos receberão uma resposta às suas propostas por correio </w:t>
      </w:r>
      <w:r w:rsidRPr="00DA3EC2">
        <w:rPr>
          <w:b/>
          <w:bCs/>
          <w:u w:val="single"/>
          <w:lang w:val="pt-PT"/>
        </w:rPr>
        <w:t>eletrónico no prazo de quatro semanas após o termo do prazo de apresentação.</w:t>
      </w:r>
    </w:p>
    <w:p w14:paraId="40670668" w14:textId="7C086C81" w:rsidR="00DA3EC2" w:rsidRPr="00DA3EC2" w:rsidRDefault="00DA3EC2" w:rsidP="00DA3EC2">
      <w:pPr>
        <w:rPr>
          <w:lang w:val="pt-PT" w:eastAsia="en-US"/>
        </w:rPr>
      </w:pPr>
      <w:r w:rsidRPr="00DA3EC2">
        <w:rPr>
          <w:lang w:val="pt-PT" w:eastAsia="en-US"/>
        </w:rPr>
        <w:t>Os resultados do convite serão publicados no sítio https://www.nhc.nl/catalyst-of-change-supporting-a-vibrant-civil-society-in-europe/e incluirão uma descrição dos projetos selecionados, as datas de subvenção, a duração dos projetos, bem como os nomes e países dos financiados.</w:t>
      </w:r>
    </w:p>
    <w:p w14:paraId="116941FC" w14:textId="74E431C6" w:rsidR="00DA3EC2" w:rsidRPr="00DA3EC2" w:rsidRDefault="00DA3EC2" w:rsidP="00F92445">
      <w:pPr>
        <w:pStyle w:val="CommentText"/>
        <w:rPr>
          <w:rFonts w:ascii="Source Sans Pro" w:hAnsi="Source Sans Pro"/>
          <w:sz w:val="22"/>
          <w:szCs w:val="22"/>
          <w:lang w:val="pt-PT"/>
        </w:rPr>
      </w:pPr>
      <w:r w:rsidRPr="00DA3EC2">
        <w:rPr>
          <w:rFonts w:ascii="Source Sans Pro" w:hAnsi="Source Sans Pro"/>
          <w:sz w:val="22"/>
          <w:szCs w:val="22"/>
          <w:lang w:val="pt-PT"/>
        </w:rPr>
        <w:t xml:space="preserve">Quaisquer preocupações ou comentários relacionados com o processo de seleção de propostas podem ser enviados à NHC por correio eletrónico para </w:t>
      </w:r>
      <w:hyperlink r:id="rId15" w:history="1">
        <w:r w:rsidRPr="00450EA1">
          <w:rPr>
            <w:rStyle w:val="Hyperlink"/>
            <w:rFonts w:ascii="Source Sans Pro" w:hAnsi="Source Sans Pro"/>
            <w:sz w:val="22"/>
            <w:szCs w:val="22"/>
            <w:lang w:val="pt-PT"/>
          </w:rPr>
          <w:t>hrd@nhc.nl</w:t>
        </w:r>
      </w:hyperlink>
      <w:r>
        <w:rPr>
          <w:rFonts w:ascii="Source Sans Pro" w:hAnsi="Source Sans Pro"/>
          <w:sz w:val="22"/>
          <w:szCs w:val="22"/>
          <w:lang w:val="pt-PT"/>
        </w:rPr>
        <w:t xml:space="preserve">. </w:t>
      </w:r>
    </w:p>
    <w:p w14:paraId="11F48CF5" w14:textId="2609092B" w:rsidR="00F15752" w:rsidRPr="00DA3EC2" w:rsidRDefault="00F15752" w:rsidP="00EF1390">
      <w:pPr>
        <w:pStyle w:val="CommentText"/>
        <w:rPr>
          <w:lang w:val="pt-PT"/>
        </w:rPr>
      </w:pPr>
    </w:p>
    <w:p w14:paraId="431C19AF" w14:textId="68AA5A2A" w:rsidR="1FF11C30" w:rsidRPr="00DA3EC2" w:rsidRDefault="1FF11C30" w:rsidP="1FF11C30">
      <w:pPr>
        <w:rPr>
          <w:lang w:val="pt-PT"/>
        </w:rPr>
      </w:pPr>
    </w:p>
    <w:sectPr w:rsidR="1FF11C30" w:rsidRPr="00DA3EC2" w:rsidSect="009E5A55">
      <w:headerReference w:type="default" r:id="rId16"/>
      <w:footerReference w:type="default" r:id="rId17"/>
      <w:footerReference w:type="first" r:id="rId18"/>
      <w:pgSz w:w="11906" w:h="16838" w:code="9"/>
      <w:pgMar w:top="1701" w:right="1411" w:bottom="1138" w:left="1411" w:header="738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5B645" w14:textId="77777777" w:rsidR="000F0762" w:rsidRDefault="000F0762" w:rsidP="00466CE3">
      <w:pPr>
        <w:spacing w:after="0" w:line="240" w:lineRule="auto"/>
      </w:pPr>
      <w:r>
        <w:separator/>
      </w:r>
    </w:p>
  </w:endnote>
  <w:endnote w:type="continuationSeparator" w:id="0">
    <w:p w14:paraId="3EE693D8" w14:textId="77777777" w:rsidR="000F0762" w:rsidRDefault="000F0762" w:rsidP="00466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B W4 SemiLight">
    <w:panose1 w:val="00000000000000000000"/>
    <w:charset w:val="00"/>
    <w:family w:val="swiss"/>
    <w:notTrueType/>
    <w:pitch w:val="variable"/>
    <w:sig w:usb0="A000006F" w:usb1="5000200A" w:usb2="00000000" w:usb3="00000000" w:csb0="00000093" w:csb1="00000000"/>
  </w:font>
  <w:font w:name="Source Sans Pro Semibold">
    <w:panose1 w:val="020B06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5041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A418CB" w14:textId="1513C68D" w:rsidR="001936CC" w:rsidRDefault="001936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EA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EE9EDFC" w14:textId="7FB13CF1" w:rsidR="00466CE3" w:rsidRPr="006820FC" w:rsidRDefault="009E5A55" w:rsidP="002E4E0A">
    <w:pPr>
      <w:pStyle w:val="Normal1"/>
      <w:tabs>
        <w:tab w:val="left" w:pos="3510"/>
      </w:tabs>
      <w:ind w:left="2124"/>
      <w:jc w:val="both"/>
      <w:rPr>
        <w:i/>
        <w:sz w:val="20"/>
      </w:rPr>
    </w:pPr>
    <w:r>
      <w:rPr>
        <w:noProof/>
      </w:rPr>
      <w:drawing>
        <wp:inline distT="0" distB="0" distL="0" distR="0" wp14:anchorId="77B6A628" wp14:editId="3CFAE0B4">
          <wp:extent cx="2318573" cy="486515"/>
          <wp:effectExtent l="0" t="0" r="5715" b="8890"/>
          <wp:docPr id="1" name="Picture 1" descr="https://www.nhc.nl/assets/uploads/2022/11/EN-Funded-by-the-EU-POS-1024x2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nhc.nl/assets/uploads/2022/11/EN-Funded-by-the-EU-POS-1024x21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857" cy="493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41C89DD2" w14:paraId="2518F0EE" w14:textId="77777777" w:rsidTr="41C89DD2">
      <w:tc>
        <w:tcPr>
          <w:tcW w:w="3025" w:type="dxa"/>
        </w:tcPr>
        <w:p w14:paraId="026F1827" w14:textId="525489EA" w:rsidR="41C89DD2" w:rsidRDefault="41C89DD2" w:rsidP="41C89DD2">
          <w:pPr>
            <w:pStyle w:val="Header"/>
            <w:ind w:left="-115"/>
            <w:jc w:val="left"/>
          </w:pPr>
        </w:p>
      </w:tc>
      <w:tc>
        <w:tcPr>
          <w:tcW w:w="3025" w:type="dxa"/>
        </w:tcPr>
        <w:p w14:paraId="09E2DB66" w14:textId="08824CE8" w:rsidR="41C89DD2" w:rsidRDefault="41C89DD2" w:rsidP="41C89DD2">
          <w:pPr>
            <w:pStyle w:val="Header"/>
            <w:jc w:val="center"/>
          </w:pPr>
        </w:p>
      </w:tc>
      <w:tc>
        <w:tcPr>
          <w:tcW w:w="3025" w:type="dxa"/>
        </w:tcPr>
        <w:p w14:paraId="1B3DD170" w14:textId="231E563B" w:rsidR="41C89DD2" w:rsidRDefault="41C89DD2" w:rsidP="41C89DD2">
          <w:pPr>
            <w:pStyle w:val="Header"/>
            <w:ind w:right="-115"/>
            <w:jc w:val="right"/>
          </w:pPr>
        </w:p>
      </w:tc>
    </w:tr>
  </w:tbl>
  <w:p w14:paraId="04213A02" w14:textId="487A47D8" w:rsidR="41C89DD2" w:rsidRDefault="41C89DD2" w:rsidP="41C89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4E1AC" w14:textId="77777777" w:rsidR="000F0762" w:rsidRDefault="000F0762" w:rsidP="00466CE3">
      <w:pPr>
        <w:spacing w:after="0" w:line="240" w:lineRule="auto"/>
      </w:pPr>
      <w:r>
        <w:separator/>
      </w:r>
    </w:p>
  </w:footnote>
  <w:footnote w:type="continuationSeparator" w:id="0">
    <w:p w14:paraId="65359E27" w14:textId="77777777" w:rsidR="000F0762" w:rsidRDefault="000F0762" w:rsidP="00466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41C89DD2" w14:paraId="2448BC00" w14:textId="77777777" w:rsidTr="41C89DD2">
      <w:tc>
        <w:tcPr>
          <w:tcW w:w="3025" w:type="dxa"/>
        </w:tcPr>
        <w:p w14:paraId="71EAAA33" w14:textId="64B70D62" w:rsidR="41C89DD2" w:rsidRDefault="41C89DD2" w:rsidP="41C89DD2">
          <w:pPr>
            <w:pStyle w:val="Header"/>
            <w:ind w:left="-115"/>
            <w:jc w:val="left"/>
          </w:pPr>
        </w:p>
      </w:tc>
      <w:tc>
        <w:tcPr>
          <w:tcW w:w="3025" w:type="dxa"/>
        </w:tcPr>
        <w:p w14:paraId="6B13D54D" w14:textId="1E457EB9" w:rsidR="41C89DD2" w:rsidRDefault="41C89DD2" w:rsidP="41C89DD2">
          <w:pPr>
            <w:pStyle w:val="Header"/>
            <w:jc w:val="center"/>
          </w:pPr>
        </w:p>
      </w:tc>
      <w:tc>
        <w:tcPr>
          <w:tcW w:w="3025" w:type="dxa"/>
        </w:tcPr>
        <w:p w14:paraId="0A7FE81B" w14:textId="43C62DA0" w:rsidR="41C89DD2" w:rsidRDefault="41C89DD2" w:rsidP="41C89DD2">
          <w:pPr>
            <w:pStyle w:val="Header"/>
            <w:ind w:right="-115"/>
            <w:jc w:val="right"/>
          </w:pPr>
        </w:p>
      </w:tc>
    </w:tr>
  </w:tbl>
  <w:p w14:paraId="40EB0096" w14:textId="67CC74DE" w:rsidR="41C89DD2" w:rsidRDefault="41C89DD2" w:rsidP="41C89D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02B8B"/>
    <w:multiLevelType w:val="multilevel"/>
    <w:tmpl w:val="7BC0E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C7675D"/>
    <w:multiLevelType w:val="hybridMultilevel"/>
    <w:tmpl w:val="710658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8F2E0C"/>
    <w:multiLevelType w:val="multilevel"/>
    <w:tmpl w:val="059477A2"/>
    <w:name w:val="Nummering"/>
    <w:styleLink w:val="Nummers"/>
    <w:lvl w:ilvl="0">
      <w:start w:val="1"/>
      <w:numFmt w:val="decimal"/>
      <w:pStyle w:val="ListNumber"/>
      <w:lvlText w:val="%1"/>
      <w:lvlJc w:val="left"/>
      <w:pPr>
        <w:tabs>
          <w:tab w:val="num" w:pos="397"/>
        </w:tabs>
        <w:ind w:left="397" w:hanging="397"/>
      </w:pPr>
      <w:rPr>
        <w:rFonts w:ascii="Trebuchet MS" w:hAnsi="Trebuchet MS" w:hint="default"/>
      </w:rPr>
    </w:lvl>
    <w:lvl w:ilvl="1">
      <w:start w:val="1"/>
      <w:numFmt w:val="bullet"/>
      <w:pStyle w:val="ListNumber2"/>
      <w:lvlText w:val="­"/>
      <w:lvlJc w:val="left"/>
      <w:pPr>
        <w:tabs>
          <w:tab w:val="num" w:pos="737"/>
        </w:tabs>
        <w:ind w:left="737" w:hanging="340"/>
      </w:pPr>
      <w:rPr>
        <w:rFonts w:ascii="Trebuchet MS" w:hAnsi="Trebuchet MS" w:hint="default"/>
        <w:color w:val="474C3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54A7C73"/>
    <w:multiLevelType w:val="hybridMultilevel"/>
    <w:tmpl w:val="82EC33FE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42ED3"/>
    <w:multiLevelType w:val="multilevel"/>
    <w:tmpl w:val="95F8E44A"/>
    <w:name w:val="Opsommingstekens"/>
    <w:styleLink w:val="Opsommingstekens"/>
    <w:lvl w:ilvl="0">
      <w:start w:val="1"/>
      <w:numFmt w:val="bullet"/>
      <w:pStyle w:val="ListBullet"/>
      <w:lvlText w:val=""/>
      <w:lvlJc w:val="left"/>
      <w:pPr>
        <w:ind w:left="360" w:hanging="360"/>
      </w:pPr>
      <w:rPr>
        <w:rFonts w:ascii="Symbol" w:hAnsi="Symbol" w:hint="default"/>
        <w:color w:val="474C3E"/>
        <w:sz w:val="12"/>
      </w:rPr>
    </w:lvl>
    <w:lvl w:ilvl="1">
      <w:start w:val="1"/>
      <w:numFmt w:val="bullet"/>
      <w:lvlRestart w:val="0"/>
      <w:pStyle w:val="ListBullet2"/>
      <w:lvlText w:val="­"/>
      <w:lvlJc w:val="left"/>
      <w:pPr>
        <w:tabs>
          <w:tab w:val="num" w:pos="737"/>
        </w:tabs>
        <w:ind w:left="737" w:hanging="340"/>
      </w:pPr>
      <w:rPr>
        <w:rFonts w:ascii="Trebuchet MS" w:hAnsi="Trebuchet MS" w:hint="default"/>
        <w:color w:val="474C3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56525FC3"/>
    <w:multiLevelType w:val="hybridMultilevel"/>
    <w:tmpl w:val="22AED42C"/>
    <w:lvl w:ilvl="0" w:tplc="2F9E1D8E">
      <w:start w:val="1"/>
      <w:numFmt w:val="bullet"/>
      <w:lvlText w:val=""/>
      <w:lvlJc w:val="left"/>
      <w:pPr>
        <w:ind w:left="850" w:hanging="708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2635F"/>
    <w:multiLevelType w:val="hybridMultilevel"/>
    <w:tmpl w:val="C7E423F6"/>
    <w:lvl w:ilvl="0" w:tplc="212022E4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A03FAF"/>
    <w:multiLevelType w:val="hybridMultilevel"/>
    <w:tmpl w:val="CF0C9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nl-NL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s-CL" w:vendorID="64" w:dllVersion="4096" w:nlCheck="1" w:checkStyle="0"/>
  <w:activeWritingStyle w:appName="MSWord" w:lang="en-GB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4E"/>
    <w:rsid w:val="00010653"/>
    <w:rsid w:val="00012A43"/>
    <w:rsid w:val="00017C68"/>
    <w:rsid w:val="000249A5"/>
    <w:rsid w:val="00025D05"/>
    <w:rsid w:val="000301F5"/>
    <w:rsid w:val="00031417"/>
    <w:rsid w:val="00031731"/>
    <w:rsid w:val="00031C8F"/>
    <w:rsid w:val="00033C8D"/>
    <w:rsid w:val="0003681B"/>
    <w:rsid w:val="0004248C"/>
    <w:rsid w:val="00044733"/>
    <w:rsid w:val="00045321"/>
    <w:rsid w:val="0005703C"/>
    <w:rsid w:val="00061688"/>
    <w:rsid w:val="00067F8C"/>
    <w:rsid w:val="00077EED"/>
    <w:rsid w:val="00084387"/>
    <w:rsid w:val="0008524A"/>
    <w:rsid w:val="00090132"/>
    <w:rsid w:val="00090489"/>
    <w:rsid w:val="0009185A"/>
    <w:rsid w:val="00091CF9"/>
    <w:rsid w:val="00094C79"/>
    <w:rsid w:val="000962D7"/>
    <w:rsid w:val="000A027E"/>
    <w:rsid w:val="000A46A2"/>
    <w:rsid w:val="000A6C68"/>
    <w:rsid w:val="000C0C1A"/>
    <w:rsid w:val="000C2538"/>
    <w:rsid w:val="000C4C9E"/>
    <w:rsid w:val="000C7561"/>
    <w:rsid w:val="000D2109"/>
    <w:rsid w:val="000E0FBE"/>
    <w:rsid w:val="000E3512"/>
    <w:rsid w:val="000E4FAF"/>
    <w:rsid w:val="000E5514"/>
    <w:rsid w:val="000E7D8C"/>
    <w:rsid w:val="000F0470"/>
    <w:rsid w:val="000F0616"/>
    <w:rsid w:val="000F0762"/>
    <w:rsid w:val="000F0C1C"/>
    <w:rsid w:val="000F1129"/>
    <w:rsid w:val="000F3CB2"/>
    <w:rsid w:val="00104DD2"/>
    <w:rsid w:val="001206D3"/>
    <w:rsid w:val="00121CD4"/>
    <w:rsid w:val="00121F41"/>
    <w:rsid w:val="00124D3C"/>
    <w:rsid w:val="001312CC"/>
    <w:rsid w:val="00133319"/>
    <w:rsid w:val="00133A14"/>
    <w:rsid w:val="0013439B"/>
    <w:rsid w:val="0013655F"/>
    <w:rsid w:val="00147771"/>
    <w:rsid w:val="001509E5"/>
    <w:rsid w:val="0015157B"/>
    <w:rsid w:val="001516B2"/>
    <w:rsid w:val="00154ACA"/>
    <w:rsid w:val="0015615A"/>
    <w:rsid w:val="00164D8D"/>
    <w:rsid w:val="0016504B"/>
    <w:rsid w:val="001658FE"/>
    <w:rsid w:val="0017144E"/>
    <w:rsid w:val="00173208"/>
    <w:rsid w:val="00181C1C"/>
    <w:rsid w:val="00183ADB"/>
    <w:rsid w:val="0018481C"/>
    <w:rsid w:val="00192AA3"/>
    <w:rsid w:val="001936CC"/>
    <w:rsid w:val="001950FB"/>
    <w:rsid w:val="001A4A2B"/>
    <w:rsid w:val="001B4716"/>
    <w:rsid w:val="001B797A"/>
    <w:rsid w:val="001C2904"/>
    <w:rsid w:val="001C6793"/>
    <w:rsid w:val="001C7C79"/>
    <w:rsid w:val="001C7F42"/>
    <w:rsid w:val="001D0118"/>
    <w:rsid w:val="001D0780"/>
    <w:rsid w:val="001D3271"/>
    <w:rsid w:val="001D50DD"/>
    <w:rsid w:val="001D51A4"/>
    <w:rsid w:val="001D551B"/>
    <w:rsid w:val="001D6332"/>
    <w:rsid w:val="001D761E"/>
    <w:rsid w:val="001E2783"/>
    <w:rsid w:val="001E34C4"/>
    <w:rsid w:val="001E67DE"/>
    <w:rsid w:val="001E6BA7"/>
    <w:rsid w:val="001F01DF"/>
    <w:rsid w:val="001F29B2"/>
    <w:rsid w:val="00201EBA"/>
    <w:rsid w:val="00203C0C"/>
    <w:rsid w:val="00205D79"/>
    <w:rsid w:val="00213E03"/>
    <w:rsid w:val="002152F1"/>
    <w:rsid w:val="00215DE3"/>
    <w:rsid w:val="002160D5"/>
    <w:rsid w:val="0021710A"/>
    <w:rsid w:val="0022249E"/>
    <w:rsid w:val="0022400B"/>
    <w:rsid w:val="00225976"/>
    <w:rsid w:val="002361A5"/>
    <w:rsid w:val="0024184E"/>
    <w:rsid w:val="0024339C"/>
    <w:rsid w:val="0025496F"/>
    <w:rsid w:val="002653EA"/>
    <w:rsid w:val="00265A49"/>
    <w:rsid w:val="00273E09"/>
    <w:rsid w:val="00274070"/>
    <w:rsid w:val="00274DEF"/>
    <w:rsid w:val="00284119"/>
    <w:rsid w:val="00285AAA"/>
    <w:rsid w:val="00285DA4"/>
    <w:rsid w:val="00287810"/>
    <w:rsid w:val="002905C1"/>
    <w:rsid w:val="002A2875"/>
    <w:rsid w:val="002A52E5"/>
    <w:rsid w:val="002A7949"/>
    <w:rsid w:val="002B05D0"/>
    <w:rsid w:val="002B0DFB"/>
    <w:rsid w:val="002B490C"/>
    <w:rsid w:val="002C4A5C"/>
    <w:rsid w:val="002D03A2"/>
    <w:rsid w:val="002D22F8"/>
    <w:rsid w:val="002D6AA3"/>
    <w:rsid w:val="002E1F0A"/>
    <w:rsid w:val="002E26A9"/>
    <w:rsid w:val="002E4388"/>
    <w:rsid w:val="002E4E0A"/>
    <w:rsid w:val="002F2CA9"/>
    <w:rsid w:val="002F3375"/>
    <w:rsid w:val="002F489F"/>
    <w:rsid w:val="002F55A1"/>
    <w:rsid w:val="00300F6F"/>
    <w:rsid w:val="00305BBD"/>
    <w:rsid w:val="003106C4"/>
    <w:rsid w:val="003332A0"/>
    <w:rsid w:val="00335C4B"/>
    <w:rsid w:val="00337392"/>
    <w:rsid w:val="003471FB"/>
    <w:rsid w:val="00351770"/>
    <w:rsid w:val="003518A9"/>
    <w:rsid w:val="00354232"/>
    <w:rsid w:val="003600DF"/>
    <w:rsid w:val="00371895"/>
    <w:rsid w:val="00375E47"/>
    <w:rsid w:val="0038066D"/>
    <w:rsid w:val="00392B8D"/>
    <w:rsid w:val="00393917"/>
    <w:rsid w:val="00395766"/>
    <w:rsid w:val="00395B45"/>
    <w:rsid w:val="00395CD9"/>
    <w:rsid w:val="003A172E"/>
    <w:rsid w:val="003A3B3C"/>
    <w:rsid w:val="003A6ECA"/>
    <w:rsid w:val="003B02EF"/>
    <w:rsid w:val="003B0C03"/>
    <w:rsid w:val="003B39B2"/>
    <w:rsid w:val="003C1C70"/>
    <w:rsid w:val="003D4BB0"/>
    <w:rsid w:val="003D7B35"/>
    <w:rsid w:val="003F0AED"/>
    <w:rsid w:val="003F1C8C"/>
    <w:rsid w:val="003F3643"/>
    <w:rsid w:val="003F6CFD"/>
    <w:rsid w:val="003F7A28"/>
    <w:rsid w:val="00412B04"/>
    <w:rsid w:val="0041361E"/>
    <w:rsid w:val="00413E8F"/>
    <w:rsid w:val="004259DB"/>
    <w:rsid w:val="00425D1E"/>
    <w:rsid w:val="00427FBE"/>
    <w:rsid w:val="00433B62"/>
    <w:rsid w:val="00440F05"/>
    <w:rsid w:val="00442924"/>
    <w:rsid w:val="0044493B"/>
    <w:rsid w:val="004453C6"/>
    <w:rsid w:val="00445DE2"/>
    <w:rsid w:val="00450182"/>
    <w:rsid w:val="0045440A"/>
    <w:rsid w:val="00457B69"/>
    <w:rsid w:val="00460345"/>
    <w:rsid w:val="0046257E"/>
    <w:rsid w:val="00463726"/>
    <w:rsid w:val="004644EC"/>
    <w:rsid w:val="004663F2"/>
    <w:rsid w:val="00466CE3"/>
    <w:rsid w:val="00470DC9"/>
    <w:rsid w:val="004751C2"/>
    <w:rsid w:val="0047628A"/>
    <w:rsid w:val="00482423"/>
    <w:rsid w:val="00485AFA"/>
    <w:rsid w:val="00485DEB"/>
    <w:rsid w:val="00487EC7"/>
    <w:rsid w:val="004956E9"/>
    <w:rsid w:val="004A28A1"/>
    <w:rsid w:val="004A34A5"/>
    <w:rsid w:val="004A3AAE"/>
    <w:rsid w:val="004A5E7A"/>
    <w:rsid w:val="004A71CE"/>
    <w:rsid w:val="004A7AF1"/>
    <w:rsid w:val="004B287D"/>
    <w:rsid w:val="004B2E2E"/>
    <w:rsid w:val="004B7B25"/>
    <w:rsid w:val="004C1E29"/>
    <w:rsid w:val="004C22AC"/>
    <w:rsid w:val="004C56AA"/>
    <w:rsid w:val="004D18A1"/>
    <w:rsid w:val="004D418C"/>
    <w:rsid w:val="004D71AC"/>
    <w:rsid w:val="004D7763"/>
    <w:rsid w:val="004E11F6"/>
    <w:rsid w:val="004E298E"/>
    <w:rsid w:val="004E7BB8"/>
    <w:rsid w:val="004F22E5"/>
    <w:rsid w:val="004F692B"/>
    <w:rsid w:val="00500249"/>
    <w:rsid w:val="00500B6B"/>
    <w:rsid w:val="00502E79"/>
    <w:rsid w:val="00503564"/>
    <w:rsid w:val="00504213"/>
    <w:rsid w:val="0050746A"/>
    <w:rsid w:val="005076BD"/>
    <w:rsid w:val="00510891"/>
    <w:rsid w:val="005112F0"/>
    <w:rsid w:val="005131CA"/>
    <w:rsid w:val="00520D4A"/>
    <w:rsid w:val="00521789"/>
    <w:rsid w:val="00523F74"/>
    <w:rsid w:val="0052497B"/>
    <w:rsid w:val="00526EFE"/>
    <w:rsid w:val="0052742E"/>
    <w:rsid w:val="005279ED"/>
    <w:rsid w:val="00531506"/>
    <w:rsid w:val="005317BD"/>
    <w:rsid w:val="00540664"/>
    <w:rsid w:val="00541CAA"/>
    <w:rsid w:val="00543A7F"/>
    <w:rsid w:val="00544486"/>
    <w:rsid w:val="00545630"/>
    <w:rsid w:val="00550BBB"/>
    <w:rsid w:val="00550F9B"/>
    <w:rsid w:val="005516D3"/>
    <w:rsid w:val="0055236A"/>
    <w:rsid w:val="005554E2"/>
    <w:rsid w:val="0055698F"/>
    <w:rsid w:val="005608B6"/>
    <w:rsid w:val="00573BBA"/>
    <w:rsid w:val="005745BF"/>
    <w:rsid w:val="00574AF0"/>
    <w:rsid w:val="0057542E"/>
    <w:rsid w:val="005843EF"/>
    <w:rsid w:val="00586B41"/>
    <w:rsid w:val="005906B9"/>
    <w:rsid w:val="00592654"/>
    <w:rsid w:val="0059280C"/>
    <w:rsid w:val="00592997"/>
    <w:rsid w:val="0059779C"/>
    <w:rsid w:val="005A19AD"/>
    <w:rsid w:val="005A21D8"/>
    <w:rsid w:val="005A2E1E"/>
    <w:rsid w:val="005B191C"/>
    <w:rsid w:val="005B36A8"/>
    <w:rsid w:val="005B4210"/>
    <w:rsid w:val="005C1600"/>
    <w:rsid w:val="005C71EB"/>
    <w:rsid w:val="005D2064"/>
    <w:rsid w:val="005D2913"/>
    <w:rsid w:val="005E16A3"/>
    <w:rsid w:val="005E30AB"/>
    <w:rsid w:val="005E5117"/>
    <w:rsid w:val="005F01B2"/>
    <w:rsid w:val="005F1EEF"/>
    <w:rsid w:val="005F34E9"/>
    <w:rsid w:val="005F5B90"/>
    <w:rsid w:val="00607B74"/>
    <w:rsid w:val="006119DB"/>
    <w:rsid w:val="00611D0E"/>
    <w:rsid w:val="006208A3"/>
    <w:rsid w:val="0062151A"/>
    <w:rsid w:val="006218F7"/>
    <w:rsid w:val="006241D3"/>
    <w:rsid w:val="0062449A"/>
    <w:rsid w:val="00624839"/>
    <w:rsid w:val="00633BFE"/>
    <w:rsid w:val="00635AD4"/>
    <w:rsid w:val="00636103"/>
    <w:rsid w:val="0063743C"/>
    <w:rsid w:val="00637B2E"/>
    <w:rsid w:val="00641F70"/>
    <w:rsid w:val="00647E9C"/>
    <w:rsid w:val="0065091C"/>
    <w:rsid w:val="006558ED"/>
    <w:rsid w:val="006568B3"/>
    <w:rsid w:val="00657F39"/>
    <w:rsid w:val="006628E6"/>
    <w:rsid w:val="00664C61"/>
    <w:rsid w:val="00667719"/>
    <w:rsid w:val="006722EA"/>
    <w:rsid w:val="0067233B"/>
    <w:rsid w:val="006820FC"/>
    <w:rsid w:val="00684487"/>
    <w:rsid w:val="00694F9A"/>
    <w:rsid w:val="006A6805"/>
    <w:rsid w:val="006A683D"/>
    <w:rsid w:val="006B0C09"/>
    <w:rsid w:val="006B27AC"/>
    <w:rsid w:val="006B3E4F"/>
    <w:rsid w:val="006D0A1B"/>
    <w:rsid w:val="006D1237"/>
    <w:rsid w:val="006D1F90"/>
    <w:rsid w:val="006D6756"/>
    <w:rsid w:val="006E0673"/>
    <w:rsid w:val="006E099E"/>
    <w:rsid w:val="006E3B18"/>
    <w:rsid w:val="006E3EF0"/>
    <w:rsid w:val="006E6828"/>
    <w:rsid w:val="006F3C15"/>
    <w:rsid w:val="006F4915"/>
    <w:rsid w:val="006F4C9C"/>
    <w:rsid w:val="006F545E"/>
    <w:rsid w:val="00700121"/>
    <w:rsid w:val="007003EF"/>
    <w:rsid w:val="00701320"/>
    <w:rsid w:val="00703190"/>
    <w:rsid w:val="00704D7D"/>
    <w:rsid w:val="00705154"/>
    <w:rsid w:val="00711197"/>
    <w:rsid w:val="00711662"/>
    <w:rsid w:val="007119D0"/>
    <w:rsid w:val="0071336C"/>
    <w:rsid w:val="00713AAD"/>
    <w:rsid w:val="00716141"/>
    <w:rsid w:val="00735CE7"/>
    <w:rsid w:val="00735F7D"/>
    <w:rsid w:val="0074172F"/>
    <w:rsid w:val="0074284B"/>
    <w:rsid w:val="007444AB"/>
    <w:rsid w:val="007451F2"/>
    <w:rsid w:val="0075309F"/>
    <w:rsid w:val="007540F5"/>
    <w:rsid w:val="00754DDA"/>
    <w:rsid w:val="00761BB2"/>
    <w:rsid w:val="007657CB"/>
    <w:rsid w:val="007657D3"/>
    <w:rsid w:val="007703E7"/>
    <w:rsid w:val="00770F0E"/>
    <w:rsid w:val="007725C3"/>
    <w:rsid w:val="00775D84"/>
    <w:rsid w:val="00776084"/>
    <w:rsid w:val="007810E2"/>
    <w:rsid w:val="00781501"/>
    <w:rsid w:val="007838F3"/>
    <w:rsid w:val="007844F2"/>
    <w:rsid w:val="00794414"/>
    <w:rsid w:val="00797583"/>
    <w:rsid w:val="007A30E6"/>
    <w:rsid w:val="007A4292"/>
    <w:rsid w:val="007A6CDC"/>
    <w:rsid w:val="007A7414"/>
    <w:rsid w:val="007B0925"/>
    <w:rsid w:val="007B1D23"/>
    <w:rsid w:val="007B2BDB"/>
    <w:rsid w:val="007B6098"/>
    <w:rsid w:val="007C1949"/>
    <w:rsid w:val="007C30CA"/>
    <w:rsid w:val="007C4CD3"/>
    <w:rsid w:val="007C4D3C"/>
    <w:rsid w:val="007D308D"/>
    <w:rsid w:val="007E074E"/>
    <w:rsid w:val="007E412E"/>
    <w:rsid w:val="007E4BAC"/>
    <w:rsid w:val="007E641C"/>
    <w:rsid w:val="007E6B23"/>
    <w:rsid w:val="007E6FA5"/>
    <w:rsid w:val="007F4B5E"/>
    <w:rsid w:val="007F6AC2"/>
    <w:rsid w:val="0080009D"/>
    <w:rsid w:val="008016AC"/>
    <w:rsid w:val="00801DF6"/>
    <w:rsid w:val="0080796C"/>
    <w:rsid w:val="00810A4A"/>
    <w:rsid w:val="00814A34"/>
    <w:rsid w:val="00815D2D"/>
    <w:rsid w:val="00822FB6"/>
    <w:rsid w:val="0082345B"/>
    <w:rsid w:val="00823DB6"/>
    <w:rsid w:val="00831DFF"/>
    <w:rsid w:val="00837B7F"/>
    <w:rsid w:val="00840223"/>
    <w:rsid w:val="00844137"/>
    <w:rsid w:val="00846967"/>
    <w:rsid w:val="00852AA1"/>
    <w:rsid w:val="00854287"/>
    <w:rsid w:val="008568CC"/>
    <w:rsid w:val="00856B93"/>
    <w:rsid w:val="00863386"/>
    <w:rsid w:val="00867C4E"/>
    <w:rsid w:val="00870D16"/>
    <w:rsid w:val="00876F5B"/>
    <w:rsid w:val="00880730"/>
    <w:rsid w:val="00881743"/>
    <w:rsid w:val="00884248"/>
    <w:rsid w:val="0088555F"/>
    <w:rsid w:val="00886944"/>
    <w:rsid w:val="00892864"/>
    <w:rsid w:val="00894B1A"/>
    <w:rsid w:val="008960C4"/>
    <w:rsid w:val="00896122"/>
    <w:rsid w:val="008972A7"/>
    <w:rsid w:val="008974B0"/>
    <w:rsid w:val="008A00DA"/>
    <w:rsid w:val="008A37BB"/>
    <w:rsid w:val="008B6598"/>
    <w:rsid w:val="008C299B"/>
    <w:rsid w:val="008C42FF"/>
    <w:rsid w:val="008D162E"/>
    <w:rsid w:val="008D730E"/>
    <w:rsid w:val="008E0F1B"/>
    <w:rsid w:val="008E4328"/>
    <w:rsid w:val="008E4D82"/>
    <w:rsid w:val="008E5E16"/>
    <w:rsid w:val="008F0D03"/>
    <w:rsid w:val="008F2AA7"/>
    <w:rsid w:val="008F452E"/>
    <w:rsid w:val="008F5C30"/>
    <w:rsid w:val="008F75B7"/>
    <w:rsid w:val="00904722"/>
    <w:rsid w:val="00911CE7"/>
    <w:rsid w:val="00922D00"/>
    <w:rsid w:val="00922FF4"/>
    <w:rsid w:val="009233A7"/>
    <w:rsid w:val="009258C8"/>
    <w:rsid w:val="009262AE"/>
    <w:rsid w:val="009272B8"/>
    <w:rsid w:val="00931CDE"/>
    <w:rsid w:val="00933902"/>
    <w:rsid w:val="009353E9"/>
    <w:rsid w:val="00935826"/>
    <w:rsid w:val="0093726E"/>
    <w:rsid w:val="00940AB6"/>
    <w:rsid w:val="00952D64"/>
    <w:rsid w:val="009621B7"/>
    <w:rsid w:val="00963B1B"/>
    <w:rsid w:val="009662ED"/>
    <w:rsid w:val="00974BAC"/>
    <w:rsid w:val="00975777"/>
    <w:rsid w:val="00981C9B"/>
    <w:rsid w:val="00984765"/>
    <w:rsid w:val="00987840"/>
    <w:rsid w:val="009915D2"/>
    <w:rsid w:val="00991EA6"/>
    <w:rsid w:val="0099654C"/>
    <w:rsid w:val="009A2821"/>
    <w:rsid w:val="009A34FE"/>
    <w:rsid w:val="009A3687"/>
    <w:rsid w:val="009A4AC6"/>
    <w:rsid w:val="009A4EF4"/>
    <w:rsid w:val="009B3136"/>
    <w:rsid w:val="009B7E49"/>
    <w:rsid w:val="009C001C"/>
    <w:rsid w:val="009C083B"/>
    <w:rsid w:val="009C0F55"/>
    <w:rsid w:val="009C16FD"/>
    <w:rsid w:val="009C425E"/>
    <w:rsid w:val="009C5112"/>
    <w:rsid w:val="009C7AB0"/>
    <w:rsid w:val="009C7BFC"/>
    <w:rsid w:val="009D0A9F"/>
    <w:rsid w:val="009D2150"/>
    <w:rsid w:val="009D6772"/>
    <w:rsid w:val="009E3BDE"/>
    <w:rsid w:val="009E5A55"/>
    <w:rsid w:val="009F4B39"/>
    <w:rsid w:val="009F544E"/>
    <w:rsid w:val="009F5D7C"/>
    <w:rsid w:val="009F67AF"/>
    <w:rsid w:val="00A0080E"/>
    <w:rsid w:val="00A14E5F"/>
    <w:rsid w:val="00A15A95"/>
    <w:rsid w:val="00A15CA9"/>
    <w:rsid w:val="00A16F4D"/>
    <w:rsid w:val="00A20667"/>
    <w:rsid w:val="00A2569E"/>
    <w:rsid w:val="00A30CCC"/>
    <w:rsid w:val="00A31A87"/>
    <w:rsid w:val="00A31D2C"/>
    <w:rsid w:val="00A33EB0"/>
    <w:rsid w:val="00A41AEE"/>
    <w:rsid w:val="00A41C33"/>
    <w:rsid w:val="00A5018E"/>
    <w:rsid w:val="00A546E9"/>
    <w:rsid w:val="00A62288"/>
    <w:rsid w:val="00A63958"/>
    <w:rsid w:val="00A86E82"/>
    <w:rsid w:val="00A90E93"/>
    <w:rsid w:val="00AA2739"/>
    <w:rsid w:val="00AA41E3"/>
    <w:rsid w:val="00AA725E"/>
    <w:rsid w:val="00AB5DD3"/>
    <w:rsid w:val="00AB6BC8"/>
    <w:rsid w:val="00AB6C3F"/>
    <w:rsid w:val="00AB7896"/>
    <w:rsid w:val="00AC12AE"/>
    <w:rsid w:val="00AC17C0"/>
    <w:rsid w:val="00AC4C3E"/>
    <w:rsid w:val="00AC69EB"/>
    <w:rsid w:val="00AD0302"/>
    <w:rsid w:val="00AD1A7F"/>
    <w:rsid w:val="00AE0574"/>
    <w:rsid w:val="00AE2CDF"/>
    <w:rsid w:val="00AE4CAC"/>
    <w:rsid w:val="00AF4100"/>
    <w:rsid w:val="00AF5A45"/>
    <w:rsid w:val="00AF695E"/>
    <w:rsid w:val="00B15831"/>
    <w:rsid w:val="00B16FAF"/>
    <w:rsid w:val="00B2113E"/>
    <w:rsid w:val="00B2195B"/>
    <w:rsid w:val="00B242CA"/>
    <w:rsid w:val="00B267D3"/>
    <w:rsid w:val="00B27E6D"/>
    <w:rsid w:val="00B3403F"/>
    <w:rsid w:val="00B437C1"/>
    <w:rsid w:val="00B54536"/>
    <w:rsid w:val="00B5770E"/>
    <w:rsid w:val="00B639F0"/>
    <w:rsid w:val="00B6486E"/>
    <w:rsid w:val="00B657B3"/>
    <w:rsid w:val="00B660C3"/>
    <w:rsid w:val="00B710FD"/>
    <w:rsid w:val="00B738D3"/>
    <w:rsid w:val="00B7615E"/>
    <w:rsid w:val="00B81E5F"/>
    <w:rsid w:val="00B8211E"/>
    <w:rsid w:val="00B8387B"/>
    <w:rsid w:val="00B84C2D"/>
    <w:rsid w:val="00B857F1"/>
    <w:rsid w:val="00B92BF0"/>
    <w:rsid w:val="00B94320"/>
    <w:rsid w:val="00BA341D"/>
    <w:rsid w:val="00BB1625"/>
    <w:rsid w:val="00BB7984"/>
    <w:rsid w:val="00BC1B88"/>
    <w:rsid w:val="00BC1D3B"/>
    <w:rsid w:val="00BC3126"/>
    <w:rsid w:val="00BC4050"/>
    <w:rsid w:val="00BC4C40"/>
    <w:rsid w:val="00BC4D4C"/>
    <w:rsid w:val="00BC5AF2"/>
    <w:rsid w:val="00BD1520"/>
    <w:rsid w:val="00BE49DB"/>
    <w:rsid w:val="00BE7A42"/>
    <w:rsid w:val="00BF0155"/>
    <w:rsid w:val="00BF1460"/>
    <w:rsid w:val="00BF252C"/>
    <w:rsid w:val="00BF4042"/>
    <w:rsid w:val="00BF445C"/>
    <w:rsid w:val="00BF6E23"/>
    <w:rsid w:val="00C01357"/>
    <w:rsid w:val="00C035E2"/>
    <w:rsid w:val="00C059C5"/>
    <w:rsid w:val="00C126DD"/>
    <w:rsid w:val="00C13CAC"/>
    <w:rsid w:val="00C174F5"/>
    <w:rsid w:val="00C22C96"/>
    <w:rsid w:val="00C25D68"/>
    <w:rsid w:val="00C2677F"/>
    <w:rsid w:val="00C37A62"/>
    <w:rsid w:val="00C405DB"/>
    <w:rsid w:val="00C40DE1"/>
    <w:rsid w:val="00C41F3C"/>
    <w:rsid w:val="00C436B6"/>
    <w:rsid w:val="00C44E98"/>
    <w:rsid w:val="00C51AB8"/>
    <w:rsid w:val="00C5701B"/>
    <w:rsid w:val="00C57A5D"/>
    <w:rsid w:val="00C75DA5"/>
    <w:rsid w:val="00C80BED"/>
    <w:rsid w:val="00C841B3"/>
    <w:rsid w:val="00C856FF"/>
    <w:rsid w:val="00C87E62"/>
    <w:rsid w:val="00C932EF"/>
    <w:rsid w:val="00C96FE3"/>
    <w:rsid w:val="00C9797A"/>
    <w:rsid w:val="00CA66B3"/>
    <w:rsid w:val="00CA69EF"/>
    <w:rsid w:val="00CA7FF2"/>
    <w:rsid w:val="00CB033F"/>
    <w:rsid w:val="00CB1881"/>
    <w:rsid w:val="00CB1C79"/>
    <w:rsid w:val="00CB2AB8"/>
    <w:rsid w:val="00CB5A3C"/>
    <w:rsid w:val="00CC02B6"/>
    <w:rsid w:val="00CC02DD"/>
    <w:rsid w:val="00CC063D"/>
    <w:rsid w:val="00CC1693"/>
    <w:rsid w:val="00CC5208"/>
    <w:rsid w:val="00CC76BD"/>
    <w:rsid w:val="00CC77D5"/>
    <w:rsid w:val="00CD039A"/>
    <w:rsid w:val="00CD1136"/>
    <w:rsid w:val="00CD448D"/>
    <w:rsid w:val="00CD5C02"/>
    <w:rsid w:val="00CE0D99"/>
    <w:rsid w:val="00CF062E"/>
    <w:rsid w:val="00CF3E93"/>
    <w:rsid w:val="00CF4620"/>
    <w:rsid w:val="00CF69EA"/>
    <w:rsid w:val="00CF739D"/>
    <w:rsid w:val="00D0152C"/>
    <w:rsid w:val="00D06F1A"/>
    <w:rsid w:val="00D11FAD"/>
    <w:rsid w:val="00D17872"/>
    <w:rsid w:val="00D22E17"/>
    <w:rsid w:val="00D269B9"/>
    <w:rsid w:val="00D26A50"/>
    <w:rsid w:val="00D27817"/>
    <w:rsid w:val="00D30686"/>
    <w:rsid w:val="00D34DBC"/>
    <w:rsid w:val="00D35002"/>
    <w:rsid w:val="00D35BCA"/>
    <w:rsid w:val="00D36767"/>
    <w:rsid w:val="00D40A1B"/>
    <w:rsid w:val="00D4388D"/>
    <w:rsid w:val="00D50A6C"/>
    <w:rsid w:val="00D54646"/>
    <w:rsid w:val="00D57B39"/>
    <w:rsid w:val="00D6364F"/>
    <w:rsid w:val="00D718CC"/>
    <w:rsid w:val="00D75151"/>
    <w:rsid w:val="00D7584A"/>
    <w:rsid w:val="00D771C4"/>
    <w:rsid w:val="00D7767B"/>
    <w:rsid w:val="00D77D90"/>
    <w:rsid w:val="00D851CF"/>
    <w:rsid w:val="00D860B5"/>
    <w:rsid w:val="00D8787E"/>
    <w:rsid w:val="00D92FFC"/>
    <w:rsid w:val="00D9374E"/>
    <w:rsid w:val="00D939E3"/>
    <w:rsid w:val="00D9402C"/>
    <w:rsid w:val="00D97E2E"/>
    <w:rsid w:val="00DA3EC2"/>
    <w:rsid w:val="00DA681E"/>
    <w:rsid w:val="00DA6C22"/>
    <w:rsid w:val="00DB53AB"/>
    <w:rsid w:val="00DB743B"/>
    <w:rsid w:val="00DC40BA"/>
    <w:rsid w:val="00DC4F3B"/>
    <w:rsid w:val="00DC7125"/>
    <w:rsid w:val="00DD475C"/>
    <w:rsid w:val="00DD7DB8"/>
    <w:rsid w:val="00DE0302"/>
    <w:rsid w:val="00DE2A35"/>
    <w:rsid w:val="00DE4472"/>
    <w:rsid w:val="00DE4B4A"/>
    <w:rsid w:val="00DE63D3"/>
    <w:rsid w:val="00DE650E"/>
    <w:rsid w:val="00DE6E30"/>
    <w:rsid w:val="00DF0C97"/>
    <w:rsid w:val="00DF4067"/>
    <w:rsid w:val="00DF45F2"/>
    <w:rsid w:val="00DF4C0D"/>
    <w:rsid w:val="00E00B5A"/>
    <w:rsid w:val="00E03E5D"/>
    <w:rsid w:val="00E055C2"/>
    <w:rsid w:val="00E06FC4"/>
    <w:rsid w:val="00E16695"/>
    <w:rsid w:val="00E17C58"/>
    <w:rsid w:val="00E22061"/>
    <w:rsid w:val="00E241C8"/>
    <w:rsid w:val="00E24C98"/>
    <w:rsid w:val="00E2766B"/>
    <w:rsid w:val="00E30901"/>
    <w:rsid w:val="00E33777"/>
    <w:rsid w:val="00E37D37"/>
    <w:rsid w:val="00E4647D"/>
    <w:rsid w:val="00E46B22"/>
    <w:rsid w:val="00E471B9"/>
    <w:rsid w:val="00E51056"/>
    <w:rsid w:val="00E56343"/>
    <w:rsid w:val="00E574AB"/>
    <w:rsid w:val="00E63363"/>
    <w:rsid w:val="00E644CE"/>
    <w:rsid w:val="00E661AD"/>
    <w:rsid w:val="00E66332"/>
    <w:rsid w:val="00E73344"/>
    <w:rsid w:val="00E73577"/>
    <w:rsid w:val="00E77F13"/>
    <w:rsid w:val="00E807DB"/>
    <w:rsid w:val="00E8320E"/>
    <w:rsid w:val="00E86603"/>
    <w:rsid w:val="00E87393"/>
    <w:rsid w:val="00E94196"/>
    <w:rsid w:val="00E95BF4"/>
    <w:rsid w:val="00EA167D"/>
    <w:rsid w:val="00EA5297"/>
    <w:rsid w:val="00EA5774"/>
    <w:rsid w:val="00EA6534"/>
    <w:rsid w:val="00EB4205"/>
    <w:rsid w:val="00EC1408"/>
    <w:rsid w:val="00EC46A7"/>
    <w:rsid w:val="00EC4CD5"/>
    <w:rsid w:val="00ED27F5"/>
    <w:rsid w:val="00ED2B02"/>
    <w:rsid w:val="00ED3EBB"/>
    <w:rsid w:val="00ED40F1"/>
    <w:rsid w:val="00ED43BA"/>
    <w:rsid w:val="00ED496F"/>
    <w:rsid w:val="00EE1F03"/>
    <w:rsid w:val="00EE44B2"/>
    <w:rsid w:val="00EE5C0F"/>
    <w:rsid w:val="00EF1390"/>
    <w:rsid w:val="00F01A17"/>
    <w:rsid w:val="00F01F7C"/>
    <w:rsid w:val="00F070D9"/>
    <w:rsid w:val="00F132F1"/>
    <w:rsid w:val="00F14F3D"/>
    <w:rsid w:val="00F15752"/>
    <w:rsid w:val="00F2041C"/>
    <w:rsid w:val="00F21057"/>
    <w:rsid w:val="00F26A47"/>
    <w:rsid w:val="00F36644"/>
    <w:rsid w:val="00F37738"/>
    <w:rsid w:val="00F464C1"/>
    <w:rsid w:val="00F52FCB"/>
    <w:rsid w:val="00F57640"/>
    <w:rsid w:val="00F70B4F"/>
    <w:rsid w:val="00F7232D"/>
    <w:rsid w:val="00F72AFA"/>
    <w:rsid w:val="00F72E79"/>
    <w:rsid w:val="00F745AF"/>
    <w:rsid w:val="00F75F23"/>
    <w:rsid w:val="00F815D8"/>
    <w:rsid w:val="00F843FD"/>
    <w:rsid w:val="00F84BEE"/>
    <w:rsid w:val="00F87E11"/>
    <w:rsid w:val="00F92445"/>
    <w:rsid w:val="00F9257C"/>
    <w:rsid w:val="00F968A9"/>
    <w:rsid w:val="00F974DE"/>
    <w:rsid w:val="00FA1962"/>
    <w:rsid w:val="00FA381D"/>
    <w:rsid w:val="00FA3DA9"/>
    <w:rsid w:val="00FA5C04"/>
    <w:rsid w:val="00FA6479"/>
    <w:rsid w:val="00FB5E22"/>
    <w:rsid w:val="00FB624B"/>
    <w:rsid w:val="00FC1A6A"/>
    <w:rsid w:val="00FC218E"/>
    <w:rsid w:val="00FC3785"/>
    <w:rsid w:val="00FD265F"/>
    <w:rsid w:val="00FE4611"/>
    <w:rsid w:val="00FE5454"/>
    <w:rsid w:val="00FF0F5A"/>
    <w:rsid w:val="012C8FC8"/>
    <w:rsid w:val="01724576"/>
    <w:rsid w:val="03BE0643"/>
    <w:rsid w:val="03E2C565"/>
    <w:rsid w:val="03F6CE93"/>
    <w:rsid w:val="05113404"/>
    <w:rsid w:val="059B0D59"/>
    <w:rsid w:val="05E77267"/>
    <w:rsid w:val="064B6B8C"/>
    <w:rsid w:val="07E73BED"/>
    <w:rsid w:val="0979F0D3"/>
    <w:rsid w:val="098F4FF2"/>
    <w:rsid w:val="09CBA72E"/>
    <w:rsid w:val="0A148210"/>
    <w:rsid w:val="0BCCDF65"/>
    <w:rsid w:val="0C4CA347"/>
    <w:rsid w:val="0C61D28E"/>
    <w:rsid w:val="0CD5045D"/>
    <w:rsid w:val="0CEBEF9D"/>
    <w:rsid w:val="0DCCC3CC"/>
    <w:rsid w:val="0DE730FA"/>
    <w:rsid w:val="0E59707E"/>
    <w:rsid w:val="0E713651"/>
    <w:rsid w:val="0F356E25"/>
    <w:rsid w:val="0F438350"/>
    <w:rsid w:val="0F603582"/>
    <w:rsid w:val="117AB86A"/>
    <w:rsid w:val="1222F88C"/>
    <w:rsid w:val="12769A9C"/>
    <w:rsid w:val="12A0C604"/>
    <w:rsid w:val="13BED3B7"/>
    <w:rsid w:val="15AE3B5E"/>
    <w:rsid w:val="1604087D"/>
    <w:rsid w:val="185EF766"/>
    <w:rsid w:val="1A4152E8"/>
    <w:rsid w:val="1A7820CC"/>
    <w:rsid w:val="1A955B20"/>
    <w:rsid w:val="1B31297C"/>
    <w:rsid w:val="1B6CF540"/>
    <w:rsid w:val="1B825EF7"/>
    <w:rsid w:val="1D25181F"/>
    <w:rsid w:val="1E331273"/>
    <w:rsid w:val="1EA1DB1D"/>
    <w:rsid w:val="1FA4418F"/>
    <w:rsid w:val="1FF11C30"/>
    <w:rsid w:val="2227EE08"/>
    <w:rsid w:val="251B42D2"/>
    <w:rsid w:val="2565B3C1"/>
    <w:rsid w:val="25BFEA79"/>
    <w:rsid w:val="25C2C0F9"/>
    <w:rsid w:val="27A36010"/>
    <w:rsid w:val="27EE018D"/>
    <w:rsid w:val="2970FEA0"/>
    <w:rsid w:val="29ACD0B5"/>
    <w:rsid w:val="2BB5A7F1"/>
    <w:rsid w:val="2C32027D"/>
    <w:rsid w:val="2D9B3AAE"/>
    <w:rsid w:val="2F1A0A05"/>
    <w:rsid w:val="2F669BC7"/>
    <w:rsid w:val="303E9D1C"/>
    <w:rsid w:val="3051228E"/>
    <w:rsid w:val="31BDC4EF"/>
    <w:rsid w:val="31C0C29D"/>
    <w:rsid w:val="31EC8FB0"/>
    <w:rsid w:val="3224E975"/>
    <w:rsid w:val="323A1430"/>
    <w:rsid w:val="348B69D4"/>
    <w:rsid w:val="34B32132"/>
    <w:rsid w:val="3540374C"/>
    <w:rsid w:val="3589A4D1"/>
    <w:rsid w:val="36CCA7B6"/>
    <w:rsid w:val="3784CD64"/>
    <w:rsid w:val="38245B53"/>
    <w:rsid w:val="38F4E58D"/>
    <w:rsid w:val="3A11DEF1"/>
    <w:rsid w:val="3D03F7C7"/>
    <w:rsid w:val="3D30D486"/>
    <w:rsid w:val="3D7A0039"/>
    <w:rsid w:val="3D9D3E69"/>
    <w:rsid w:val="3F6A36CD"/>
    <w:rsid w:val="3FB61D6F"/>
    <w:rsid w:val="40921FC9"/>
    <w:rsid w:val="41C89DD2"/>
    <w:rsid w:val="42E2076D"/>
    <w:rsid w:val="43DECB26"/>
    <w:rsid w:val="44725E67"/>
    <w:rsid w:val="44E9A53A"/>
    <w:rsid w:val="457A9B87"/>
    <w:rsid w:val="4614E5C1"/>
    <w:rsid w:val="46E22D4A"/>
    <w:rsid w:val="477650A1"/>
    <w:rsid w:val="48280EAB"/>
    <w:rsid w:val="49C0E07D"/>
    <w:rsid w:val="49E44CB1"/>
    <w:rsid w:val="4A4E0CAA"/>
    <w:rsid w:val="4A9CF6D1"/>
    <w:rsid w:val="4C429E87"/>
    <w:rsid w:val="4CDD9FFE"/>
    <w:rsid w:val="4DA92399"/>
    <w:rsid w:val="4DC411A2"/>
    <w:rsid w:val="4EA3447F"/>
    <w:rsid w:val="50F016CE"/>
    <w:rsid w:val="51415023"/>
    <w:rsid w:val="51FA13B8"/>
    <w:rsid w:val="52528641"/>
    <w:rsid w:val="52716671"/>
    <w:rsid w:val="5323479C"/>
    <w:rsid w:val="543BAB4C"/>
    <w:rsid w:val="5453003D"/>
    <w:rsid w:val="546282AB"/>
    <w:rsid w:val="54FD3E4D"/>
    <w:rsid w:val="5570E2FB"/>
    <w:rsid w:val="55FE530C"/>
    <w:rsid w:val="56B82797"/>
    <w:rsid w:val="577FA740"/>
    <w:rsid w:val="579B986D"/>
    <w:rsid w:val="57BED821"/>
    <w:rsid w:val="57ED713D"/>
    <w:rsid w:val="587AF309"/>
    <w:rsid w:val="58D322AF"/>
    <w:rsid w:val="5935F3CE"/>
    <w:rsid w:val="595AA882"/>
    <w:rsid w:val="5C77813E"/>
    <w:rsid w:val="5C8DD2A6"/>
    <w:rsid w:val="5D3C8490"/>
    <w:rsid w:val="5D77D8BC"/>
    <w:rsid w:val="5E463068"/>
    <w:rsid w:val="5FC57368"/>
    <w:rsid w:val="61AE0C8E"/>
    <w:rsid w:val="620CC910"/>
    <w:rsid w:val="62485FD9"/>
    <w:rsid w:val="62FD20AD"/>
    <w:rsid w:val="631FA2E9"/>
    <w:rsid w:val="63B9A518"/>
    <w:rsid w:val="6463A69C"/>
    <w:rsid w:val="647637E4"/>
    <w:rsid w:val="64A2CB7E"/>
    <w:rsid w:val="66452579"/>
    <w:rsid w:val="675E4CFB"/>
    <w:rsid w:val="6776630B"/>
    <w:rsid w:val="67F01A9C"/>
    <w:rsid w:val="694B88F9"/>
    <w:rsid w:val="6A9D9056"/>
    <w:rsid w:val="6B1AE3BD"/>
    <w:rsid w:val="6C633BA4"/>
    <w:rsid w:val="6CA3E5BE"/>
    <w:rsid w:val="6CC194E5"/>
    <w:rsid w:val="6D96D32C"/>
    <w:rsid w:val="6DAB366A"/>
    <w:rsid w:val="6E47B457"/>
    <w:rsid w:val="6EDFA724"/>
    <w:rsid w:val="7241100B"/>
    <w:rsid w:val="72B4822B"/>
    <w:rsid w:val="72C673D8"/>
    <w:rsid w:val="732E936A"/>
    <w:rsid w:val="7352BF37"/>
    <w:rsid w:val="73565F97"/>
    <w:rsid w:val="75F83EC5"/>
    <w:rsid w:val="766CBCB1"/>
    <w:rsid w:val="797F524A"/>
    <w:rsid w:val="7A24D16A"/>
    <w:rsid w:val="7B169AB7"/>
    <w:rsid w:val="7DE17D95"/>
    <w:rsid w:val="7E4E3B79"/>
    <w:rsid w:val="7EA40898"/>
    <w:rsid w:val="7F59F782"/>
    <w:rsid w:val="7F5E952F"/>
    <w:rsid w:val="7F8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26C2BA"/>
  <w15:docId w15:val="{7306E19D-1A4C-4DCB-AD35-7389EBDF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1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752"/>
    <w:pPr>
      <w:jc w:val="both"/>
    </w:pPr>
    <w:rPr>
      <w:rFonts w:ascii="Source Sans Pro" w:hAnsi="Source Sans Pro"/>
      <w:lang w:val="en-GB"/>
    </w:rPr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2E4E0A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FF0000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D68"/>
    <w:pPr>
      <w:keepNext/>
      <w:keepLines/>
      <w:spacing w:before="240" w:after="120"/>
      <w:outlineLvl w:val="1"/>
    </w:pPr>
    <w:rPr>
      <w:rFonts w:eastAsiaTheme="majorEastAsia" w:cstheme="majorBidi"/>
      <w:color w:val="FF0000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L"/>
    <w:basedOn w:val="Normal"/>
    <w:link w:val="ListParagraphChar"/>
    <w:uiPriority w:val="34"/>
    <w:qFormat/>
    <w:rsid w:val="001714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144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1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2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2FF4"/>
    <w:pPr>
      <w:spacing w:line="240" w:lineRule="auto"/>
    </w:pPr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2FF4"/>
    <w:rPr>
      <w:rFonts w:ascii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F6E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B35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B35"/>
    <w:rPr>
      <w:rFonts w:ascii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6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CE3"/>
  </w:style>
  <w:style w:type="paragraph" w:styleId="Footer">
    <w:name w:val="footer"/>
    <w:basedOn w:val="Normal"/>
    <w:link w:val="FooterChar"/>
    <w:uiPriority w:val="99"/>
    <w:unhideWhenUsed/>
    <w:rsid w:val="0046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CE3"/>
  </w:style>
  <w:style w:type="paragraph" w:styleId="ListBullet">
    <w:name w:val="List Bullet"/>
    <w:basedOn w:val="Normal"/>
    <w:uiPriority w:val="6"/>
    <w:qFormat/>
    <w:rsid w:val="008E5E16"/>
    <w:pPr>
      <w:numPr>
        <w:numId w:val="1"/>
      </w:numPr>
      <w:spacing w:after="0" w:line="280" w:lineRule="exact"/>
      <w:contextualSpacing/>
    </w:pPr>
    <w:rPr>
      <w:rFonts w:eastAsiaTheme="minorHAnsi"/>
      <w:szCs w:val="18"/>
      <w:lang w:eastAsia="en-US"/>
    </w:rPr>
  </w:style>
  <w:style w:type="paragraph" w:styleId="ListBullet2">
    <w:name w:val="List Bullet 2"/>
    <w:basedOn w:val="Normal"/>
    <w:uiPriority w:val="6"/>
    <w:qFormat/>
    <w:rsid w:val="00935826"/>
    <w:pPr>
      <w:numPr>
        <w:ilvl w:val="1"/>
        <w:numId w:val="1"/>
      </w:numPr>
      <w:spacing w:after="0" w:line="280" w:lineRule="exact"/>
      <w:contextualSpacing/>
    </w:pPr>
    <w:rPr>
      <w:rFonts w:ascii="Trebuchet MS" w:eastAsiaTheme="minorHAnsi" w:hAnsi="Trebuchet MS"/>
      <w:color w:val="474C3E"/>
      <w:sz w:val="18"/>
      <w:szCs w:val="18"/>
      <w:lang w:eastAsia="en-US"/>
    </w:rPr>
  </w:style>
  <w:style w:type="paragraph" w:styleId="ListNumber">
    <w:name w:val="List Number"/>
    <w:basedOn w:val="Normal"/>
    <w:uiPriority w:val="19"/>
    <w:qFormat/>
    <w:rsid w:val="00935826"/>
    <w:pPr>
      <w:numPr>
        <w:numId w:val="2"/>
      </w:numPr>
      <w:spacing w:after="0" w:line="280" w:lineRule="exact"/>
      <w:contextualSpacing/>
    </w:pPr>
    <w:rPr>
      <w:rFonts w:ascii="Trebuchet MS" w:eastAsiaTheme="minorHAnsi" w:hAnsi="Trebuchet MS"/>
      <w:color w:val="474C3E"/>
      <w:sz w:val="18"/>
      <w:szCs w:val="18"/>
      <w:lang w:eastAsia="en-US"/>
    </w:rPr>
  </w:style>
  <w:style w:type="paragraph" w:styleId="ListNumber2">
    <w:name w:val="List Number 2"/>
    <w:basedOn w:val="Normal"/>
    <w:uiPriority w:val="99"/>
    <w:unhideWhenUsed/>
    <w:rsid w:val="00935826"/>
    <w:pPr>
      <w:numPr>
        <w:ilvl w:val="1"/>
        <w:numId w:val="2"/>
      </w:numPr>
      <w:spacing w:after="0" w:line="280" w:lineRule="exact"/>
      <w:contextualSpacing/>
    </w:pPr>
    <w:rPr>
      <w:rFonts w:ascii="TheSansB W4 SemiLight" w:eastAsiaTheme="minorHAnsi" w:hAnsi="TheSansB W4 SemiLight"/>
      <w:color w:val="474C3E"/>
      <w:sz w:val="18"/>
      <w:szCs w:val="18"/>
      <w:lang w:eastAsia="en-US"/>
    </w:rPr>
  </w:style>
  <w:style w:type="numbering" w:customStyle="1" w:styleId="Nummers">
    <w:name w:val="Nummers"/>
    <w:basedOn w:val="NoList"/>
    <w:uiPriority w:val="99"/>
    <w:rsid w:val="00935826"/>
    <w:pPr>
      <w:numPr>
        <w:numId w:val="2"/>
      </w:numPr>
    </w:pPr>
  </w:style>
  <w:style w:type="numbering" w:customStyle="1" w:styleId="Opsommingstekens">
    <w:name w:val="Opsommingstekens"/>
    <w:basedOn w:val="NoList"/>
    <w:uiPriority w:val="99"/>
    <w:rsid w:val="00935826"/>
    <w:pPr>
      <w:numPr>
        <w:numId w:val="1"/>
      </w:numPr>
    </w:pPr>
  </w:style>
  <w:style w:type="paragraph" w:customStyle="1" w:styleId="Normal1">
    <w:name w:val="Normal1"/>
    <w:rsid w:val="00CB033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31506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36103"/>
    <w:rPr>
      <w:b/>
      <w:bCs/>
    </w:rPr>
  </w:style>
  <w:style w:type="paragraph" w:styleId="NoSpacing">
    <w:name w:val="No Spacing"/>
    <w:aliases w:val="Intro"/>
    <w:next w:val="Normal"/>
    <w:link w:val="NoSpacingChar"/>
    <w:uiPriority w:val="1"/>
    <w:qFormat/>
    <w:rsid w:val="000D2109"/>
    <w:pPr>
      <w:spacing w:after="0" w:line="312" w:lineRule="auto"/>
    </w:pPr>
    <w:rPr>
      <w:rFonts w:ascii="Source Sans Pro" w:hAnsi="Source Sans Pro"/>
      <w:color w:val="808080" w:themeColor="background1" w:themeShade="80"/>
      <w:lang w:val="en-US" w:eastAsia="en-US"/>
    </w:rPr>
  </w:style>
  <w:style w:type="character" w:customStyle="1" w:styleId="NoSpacingChar">
    <w:name w:val="No Spacing Char"/>
    <w:aliases w:val="Intro Char"/>
    <w:basedOn w:val="DefaultParagraphFont"/>
    <w:link w:val="NoSpacing"/>
    <w:uiPriority w:val="1"/>
    <w:rsid w:val="000D2109"/>
    <w:rPr>
      <w:rFonts w:ascii="Source Sans Pro" w:hAnsi="Source Sans Pro"/>
      <w:color w:val="808080" w:themeColor="background1" w:themeShade="80"/>
      <w:lang w:val="en-US" w:eastAsia="en-US"/>
    </w:rPr>
  </w:style>
  <w:style w:type="paragraph" w:customStyle="1" w:styleId="CoverTitle">
    <w:name w:val="Cover Title"/>
    <w:basedOn w:val="NoSpacing"/>
    <w:link w:val="CoverTitleChar"/>
    <w:qFormat/>
    <w:rsid w:val="000D2109"/>
    <w:pPr>
      <w:spacing w:before="120" w:line="240" w:lineRule="auto"/>
    </w:pPr>
    <w:rPr>
      <w:rFonts w:ascii="Source Sans Pro Semibold" w:hAnsi="Source Sans Pro Semibold"/>
      <w:color w:val="FFFFFF" w:themeColor="background1"/>
      <w:sz w:val="80"/>
      <w:szCs w:val="72"/>
    </w:rPr>
  </w:style>
  <w:style w:type="paragraph" w:customStyle="1" w:styleId="CoverSubtitle">
    <w:name w:val="Cover Subtitle"/>
    <w:basedOn w:val="NoSpacing"/>
    <w:link w:val="CoverSubtitleChar"/>
    <w:qFormat/>
    <w:rsid w:val="000D2109"/>
    <w:pPr>
      <w:spacing w:before="120" w:line="264" w:lineRule="auto"/>
    </w:pPr>
    <w:rPr>
      <w:noProof/>
      <w:color w:val="FFFFFF" w:themeColor="background1"/>
      <w:sz w:val="56"/>
      <w:szCs w:val="72"/>
    </w:rPr>
  </w:style>
  <w:style w:type="character" w:customStyle="1" w:styleId="CoverTitleChar">
    <w:name w:val="Cover Title Char"/>
    <w:basedOn w:val="NoSpacingChar"/>
    <w:link w:val="CoverTitle"/>
    <w:rsid w:val="000D2109"/>
    <w:rPr>
      <w:rFonts w:ascii="Source Sans Pro Semibold" w:hAnsi="Source Sans Pro Semibold"/>
      <w:color w:val="FFFFFF" w:themeColor="background1"/>
      <w:sz w:val="80"/>
      <w:szCs w:val="72"/>
      <w:lang w:val="en-US" w:eastAsia="en-US"/>
    </w:rPr>
  </w:style>
  <w:style w:type="character" w:customStyle="1" w:styleId="CoverSubtitleChar">
    <w:name w:val="Cover Subtitle Char"/>
    <w:basedOn w:val="NoSpacingChar"/>
    <w:link w:val="CoverSubtitle"/>
    <w:rsid w:val="000D2109"/>
    <w:rPr>
      <w:rFonts w:ascii="Source Sans Pro" w:hAnsi="Source Sans Pro"/>
      <w:noProof/>
      <w:color w:val="FFFFFF" w:themeColor="background1"/>
      <w:sz w:val="56"/>
      <w:szCs w:val="7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D2109"/>
    <w:pPr>
      <w:spacing w:after="0" w:line="300" w:lineRule="auto"/>
      <w:ind w:left="200"/>
    </w:pPr>
    <w:rPr>
      <w:rFonts w:eastAsiaTheme="minorHAnsi" w:cstheme="minorHAnsi"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D2109"/>
    <w:rPr>
      <w:color w:val="808080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2E4E0A"/>
    <w:rPr>
      <w:rFonts w:ascii="Source Sans Pro" w:eastAsiaTheme="majorEastAsia" w:hAnsi="Source Sans Pro" w:cstheme="majorBidi"/>
      <w:b/>
      <w:color w:val="FF0000"/>
      <w:sz w:val="48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E4E0A"/>
    <w:pPr>
      <w:spacing w:before="120" w:after="0" w:line="240" w:lineRule="auto"/>
      <w:contextualSpacing/>
    </w:pPr>
    <w:rPr>
      <w:rFonts w:eastAsiaTheme="majorEastAsia" w:cstheme="majorBidi"/>
      <w:color w:val="FF0000"/>
      <w:spacing w:val="-10"/>
      <w:kern w:val="28"/>
      <w:sz w:val="3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4E0A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25D68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25D6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25D68"/>
    <w:pPr>
      <w:spacing w:after="100" w:line="259" w:lineRule="auto"/>
      <w:ind w:left="220"/>
    </w:pPr>
    <w:rPr>
      <w:rFonts w:cs="Times New Roman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25D68"/>
    <w:rPr>
      <w:rFonts w:ascii="Source Sans Pro" w:eastAsiaTheme="majorEastAsia" w:hAnsi="Source Sans Pro" w:cstheme="majorBidi"/>
      <w:color w:val="FF0000"/>
      <w:sz w:val="32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1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5112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C5112"/>
    <w:rPr>
      <w:vertAlign w:val="superscript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C0C1A"/>
    <w:rPr>
      <w:rFonts w:ascii="Source Sans Pro" w:hAnsi="Source Sans Pro"/>
      <w:lang w:val="en-US"/>
    </w:rPr>
  </w:style>
  <w:style w:type="paragraph" w:styleId="Revision">
    <w:name w:val="Revision"/>
    <w:hidden/>
    <w:uiPriority w:val="99"/>
    <w:semiHidden/>
    <w:rsid w:val="0003681B"/>
    <w:pPr>
      <w:spacing w:after="0" w:line="240" w:lineRule="auto"/>
    </w:pPr>
    <w:rPr>
      <w:rFonts w:ascii="Source Sans Pro" w:hAnsi="Source Sans Pro"/>
      <w:lang w:val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A3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rd@nhc.nl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2020-08-12T00:00:00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2CD408218F54298569E3855BEDE66" ma:contentTypeVersion="10" ma:contentTypeDescription="Create a new document." ma:contentTypeScope="" ma:versionID="a2685207d820e822f88b8b14b2606f7f">
  <xsd:schema xmlns:xsd="http://www.w3.org/2001/XMLSchema" xmlns:xs="http://www.w3.org/2001/XMLSchema" xmlns:p="http://schemas.microsoft.com/office/2006/metadata/properties" xmlns:ns2="cab2b343-92a1-4655-9c02-7c1307c271d6" xmlns:ns3="71bf9ea5-a3d1-4c1b-987d-bd850635c0e9" targetNamespace="http://schemas.microsoft.com/office/2006/metadata/properties" ma:root="true" ma:fieldsID="d35334f723cc274c0254f30be8dbd677" ns2:_="" ns3:_="">
    <xsd:import namespace="cab2b343-92a1-4655-9c02-7c1307c271d6"/>
    <xsd:import namespace="71bf9ea5-a3d1-4c1b-987d-bd850635c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2b343-92a1-4655-9c02-7c1307c27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f9ea5-a3d1-4c1b-987d-bd850635c0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eb8271f-7383-48e6-b4b8-3aa383ebf6b5}" ma:internalName="TaxCatchAll" ma:showField="CatchAllData" ma:web="71bf9ea5-a3d1-4c1b-987d-bd850635c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b2b343-92a1-4655-9c02-7c1307c271d6">
      <Terms xmlns="http://schemas.microsoft.com/office/infopath/2007/PartnerControls"/>
    </lcf76f155ced4ddcb4097134ff3c332f>
    <TaxCatchAll xmlns="71bf9ea5-a3d1-4c1b-987d-bd850635c0e9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1F7D8C-850B-4911-8BD5-6289C4CB9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b2b343-92a1-4655-9c02-7c1307c271d6"/>
    <ds:schemaRef ds:uri="71bf9ea5-a3d1-4c1b-987d-bd850635c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7823E-2A97-4DF4-9710-19FF6BF6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A3F7A-7007-4C4B-B6F9-E4C8A684C208}">
  <ds:schemaRefs>
    <ds:schemaRef ds:uri="http://schemas.microsoft.com/office/2006/metadata/properties"/>
    <ds:schemaRef ds:uri="http://schemas.microsoft.com/office/infopath/2007/PartnerControls"/>
    <ds:schemaRef ds:uri="cab2b343-92a1-4655-9c02-7c1307c271d6"/>
    <ds:schemaRef ds:uri="71bf9ea5-a3d1-4c1b-987d-bd850635c0e9"/>
  </ds:schemaRefs>
</ds:datastoreItem>
</file>

<file path=customXml/itemProps5.xml><?xml version="1.0" encoding="utf-8"?>
<ds:datastoreItem xmlns:ds="http://schemas.openxmlformats.org/officeDocument/2006/customXml" ds:itemID="{B27B0FC8-2B53-4AC5-8048-BC663ACF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6</Pages>
  <Words>1609</Words>
  <Characters>9203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Antanina Maslyka</dc:creator>
  <cp:keywords/>
  <dc:description/>
  <cp:lastModifiedBy>Mariana da Cunha</cp:lastModifiedBy>
  <cp:revision>19</cp:revision>
  <cp:lastPrinted>2023-10-04T10:48:00Z</cp:lastPrinted>
  <dcterms:created xsi:type="dcterms:W3CDTF">2024-07-14T20:43:00Z</dcterms:created>
  <dcterms:modified xsi:type="dcterms:W3CDTF">2024-08-15T10:29:00Z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ynDocGroupID">
    <vt:lpwstr>0</vt:lpwstr>
  </property>
  <property fmtid="{D5CDD505-2E9C-101B-9397-08002B2CF9AE}" pid="3" name="eSynDocGroupDesc">
    <vt:lpwstr>Minutes</vt:lpwstr>
  </property>
  <property fmtid="{D5CDD505-2E9C-101B-9397-08002B2CF9AE}" pid="4" name="eSynDocCategoryID">
    <vt:lpwstr>
    </vt:lpwstr>
  </property>
  <property fmtid="{D5CDD505-2E9C-101B-9397-08002B2CF9AE}" pid="5" name="eSynDocSubCategory">
    <vt:lpwstr>
    </vt:lpwstr>
  </property>
  <property fmtid="{D5CDD505-2E9C-101B-9397-08002B2CF9AE}" pid="6" name="eSynDocPublish">
    <vt:lpwstr>0</vt:lpwstr>
  </property>
  <property fmtid="{D5CDD505-2E9C-101B-9397-08002B2CF9AE}" pid="7" name="eSynDocVersion">
    <vt:lpwstr>
    </vt:lpwstr>
  </property>
  <property fmtid="{D5CDD505-2E9C-101B-9397-08002B2CF9AE}" pid="8" name="eSynDocVersionStartDate">
    <vt:lpwstr>
    </vt:lpwstr>
  </property>
  <property fmtid="{D5CDD505-2E9C-101B-9397-08002B2CF9AE}" pid="9" name="eSynDocCategoryGUID">
    <vt:lpwstr>{EBD7AD5A-5151-43CC-9445-8F91BC039FD2}</vt:lpwstr>
  </property>
  <property fmtid="{D5CDD505-2E9C-101B-9397-08002B2CF9AE}" pid="10" name="eSynDocSubCategoryGUID">
    <vt:lpwstr>{2547579C-1C8C-4CFC-8886-E43F9EA4E8D0}</vt:lpwstr>
  </property>
  <property fmtid="{D5CDD505-2E9C-101B-9397-08002B2CF9AE}" pid="11" name="eSynCleanUp06/14/2013 16:29:46">
    <vt:i4>1</vt:i4>
  </property>
  <property fmtid="{D5CDD505-2E9C-101B-9397-08002B2CF9AE}" pid="12" name="eSynCleanUp2-8-2013 11:36:15">
    <vt:i4>1</vt:i4>
  </property>
  <property fmtid="{D5CDD505-2E9C-101B-9397-08002B2CF9AE}" pid="13" name="eSynCleanUp2-8-2013 11:55:10">
    <vt:i4>1</vt:i4>
  </property>
  <property fmtid="{D5CDD505-2E9C-101B-9397-08002B2CF9AE}" pid="14" name="eSynCleanUp7-8-2013 14:47:09">
    <vt:i4>1</vt:i4>
  </property>
  <property fmtid="{D5CDD505-2E9C-101B-9397-08002B2CF9AE}" pid="15" name="eSynCleanUp16-4-2014 10:12:12">
    <vt:i4>1</vt:i4>
  </property>
  <property fmtid="{D5CDD505-2E9C-101B-9397-08002B2CF9AE}" pid="16" name="eSynCleanUp18-6-2014 10:39:37">
    <vt:i4>1</vt:i4>
  </property>
  <property fmtid="{D5CDD505-2E9C-101B-9397-08002B2CF9AE}" pid="17" name="eSynCleanUp02/23/2015 16:27:47">
    <vt:i4>1</vt:i4>
  </property>
  <property fmtid="{D5CDD505-2E9C-101B-9397-08002B2CF9AE}" pid="18" name="eSynCleanUp3-3-2015 15:55:33">
    <vt:i4>1</vt:i4>
  </property>
  <property fmtid="{D5CDD505-2E9C-101B-9397-08002B2CF9AE}" pid="19" name="eSynCleanUp03/04/2015 09:38:56">
    <vt:i4>1</vt:i4>
  </property>
  <property fmtid="{D5CDD505-2E9C-101B-9397-08002B2CF9AE}" pid="20" name="eSynCleanUp7-4-2015 16:33:23">
    <vt:i4>1</vt:i4>
  </property>
  <property fmtid="{D5CDD505-2E9C-101B-9397-08002B2CF9AE}" pid="21" name="eSynCleanUp7-4-2015 16:33:33">
    <vt:i4>1</vt:i4>
  </property>
  <property fmtid="{D5CDD505-2E9C-101B-9397-08002B2CF9AE}" pid="22" name="eSynCleanUp4-9-2015 9:28:14">
    <vt:i4>1</vt:i4>
  </property>
  <property fmtid="{D5CDD505-2E9C-101B-9397-08002B2CF9AE}" pid="23" name="eSynCleanUp18-2-2016 15:11:24">
    <vt:i4>1</vt:i4>
  </property>
  <property fmtid="{D5CDD505-2E9C-101B-9397-08002B2CF9AE}" pid="24" name="eSynDocGuid">
    <vt:lpwstr>c8fa1e6f-2b51-4dee-a760-0dd5de9bd545</vt:lpwstr>
  </property>
  <property fmtid="{D5CDD505-2E9C-101B-9397-08002B2CF9AE}" pid="25" name="eSynDocSubject">
    <vt:lpwstr>Format contract experts and trainers including ToR (Terms of Reference)</vt:lpwstr>
  </property>
  <property fmtid="{D5CDD505-2E9C-101B-9397-08002B2CF9AE}" pid="26" name="eSynDocSummary">
    <vt:lpwstr>
    </vt:lpwstr>
  </property>
  <property fmtid="{D5CDD505-2E9C-101B-9397-08002B2CF9AE}" pid="27" name="eSynDocNewsType">
    <vt:i4>0</vt:i4>
  </property>
  <property fmtid="{D5CDD505-2E9C-101B-9397-08002B2CF9AE}" pid="28" name="eSynDocParentDocument">
    <vt:lpwstr>
    </vt:lpwstr>
  </property>
  <property fmtid="{D5CDD505-2E9C-101B-9397-08002B2CF9AE}" pid="29" name="eSynDocParentDocumentHID">
    <vt:lpwstr>
    </vt:lpwstr>
  </property>
  <property fmtid="{D5CDD505-2E9C-101B-9397-08002B2CF9AE}" pid="30" name="eSynDocParentDocumentSubject">
    <vt:lpwstr>
    </vt:lpwstr>
  </property>
  <property fmtid="{D5CDD505-2E9C-101B-9397-08002B2CF9AE}" pid="31" name="eSynDocAccountID">
    <vt:lpwstr>
    </vt:lpwstr>
  </property>
  <property fmtid="{D5CDD505-2E9C-101B-9397-08002B2CF9AE}" pid="32" name="eSynDocAccount">
    <vt:lpwstr>
    </vt:lpwstr>
  </property>
  <property fmtid="{D5CDD505-2E9C-101B-9397-08002B2CF9AE}" pid="33" name="eSynDocAccountDesc">
    <vt:lpwstr>
    </vt:lpwstr>
  </property>
  <property fmtid="{D5CDD505-2E9C-101B-9397-08002B2CF9AE}" pid="34" name="eSynDocContactID">
    <vt:lpwstr>
    </vt:lpwstr>
  </property>
  <property fmtid="{D5CDD505-2E9C-101B-9397-08002B2CF9AE}" pid="35" name="eSynDocContactDesc">
    <vt:lpwstr>
    </vt:lpwstr>
  </property>
  <property fmtid="{D5CDD505-2E9C-101B-9397-08002B2CF9AE}" pid="36" name="eSynDocAcctContact">
    <vt:lpwstr>
    </vt:lpwstr>
  </property>
  <property fmtid="{D5CDD505-2E9C-101B-9397-08002B2CF9AE}" pid="37" name="eSynDocOpportunityID">
    <vt:lpwstr>
    </vt:lpwstr>
  </property>
  <property fmtid="{D5CDD505-2E9C-101B-9397-08002B2CF9AE}" pid="38" name="eSynDocOpportunityDesc">
    <vt:lpwstr>
    </vt:lpwstr>
  </property>
  <property fmtid="{D5CDD505-2E9C-101B-9397-08002B2CF9AE}" pid="39" name="eSynDocResource">
    <vt:lpwstr>
    </vt:lpwstr>
  </property>
  <property fmtid="{D5CDD505-2E9C-101B-9397-08002B2CF9AE}" pid="40" name="eSynDocResourceDesc">
    <vt:lpwstr>
    </vt:lpwstr>
  </property>
  <property fmtid="{D5CDD505-2E9C-101B-9397-08002B2CF9AE}" pid="41" name="eSynDocProjectNr">
    <vt:lpwstr>20101.09</vt:lpwstr>
  </property>
  <property fmtid="{D5CDD505-2E9C-101B-9397-08002B2CF9AE}" pid="42" name="eSynDocProjectDesc">
    <vt:lpwstr>Other organisational development</vt:lpwstr>
  </property>
  <property fmtid="{D5CDD505-2E9C-101B-9397-08002B2CF9AE}" pid="43" name="eSynDocDivision">
    <vt:lpwstr>500</vt:lpwstr>
  </property>
  <property fmtid="{D5CDD505-2E9C-101B-9397-08002B2CF9AE}" pid="44" name="eSynDocDivisionDesc">
    <vt:lpwstr>The Hague Academy for Local Governance</vt:lpwstr>
  </property>
  <property fmtid="{D5CDD505-2E9C-101B-9397-08002B2CF9AE}" pid="45" name="eSynDocAssortment">
    <vt:lpwstr>
    </vt:lpwstr>
  </property>
  <property fmtid="{D5CDD505-2E9C-101B-9397-08002B2CF9AE}" pid="46" name="eSynDocItem">
    <vt:lpwstr>
    </vt:lpwstr>
  </property>
  <property fmtid="{D5CDD505-2E9C-101B-9397-08002B2CF9AE}" pid="47" name="eSynDocItemDesc">
    <vt:lpwstr>
    </vt:lpwstr>
  </property>
  <property fmtid="{D5CDD505-2E9C-101B-9397-08002B2CF9AE}" pid="48" name="eSynDocSerialNumber">
    <vt:lpwstr>
    </vt:lpwstr>
  </property>
  <property fmtid="{D5CDD505-2E9C-101B-9397-08002B2CF9AE}" pid="49" name="eSynDocSerialDesc">
    <vt:lpwstr>
    </vt:lpwstr>
  </property>
  <property fmtid="{D5CDD505-2E9C-101B-9397-08002B2CF9AE}" pid="50" name="eSynTransactionEntryKey">
    <vt:lpwstr>
    </vt:lpwstr>
  </property>
  <property fmtid="{D5CDD505-2E9C-101B-9397-08002B2CF9AE}" pid="51" name="eSynDocTransactionDesc">
    <vt:lpwstr>
    </vt:lpwstr>
  </property>
  <property fmtid="{D5CDD505-2E9C-101B-9397-08002B2CF9AE}" pid="52" name="eSynDocLanguageCode">
    <vt:lpwstr>
    </vt:lpwstr>
  </property>
  <property fmtid="{D5CDD505-2E9C-101B-9397-08002B2CF9AE}" pid="53" name="eSynDocbAttachment">
    <vt:bool>true</vt:bool>
  </property>
  <property fmtid="{D5CDD505-2E9C-101B-9397-08002B2CF9AE}" pid="54" name="eSynDocAttachmentID">
    <vt:lpwstr>{66e6d699-5744-435d-bfd5-1f5b19e9502d}</vt:lpwstr>
  </property>
  <property fmtid="{D5CDD505-2E9C-101B-9397-08002B2CF9AE}" pid="55" name="eSynDocAttachFileName">
    <vt:lpwstr>Format contract experts and trainers (including ToR Terms of Reference Expert).docx</vt:lpwstr>
  </property>
  <property fmtid="{D5CDD505-2E9C-101B-9397-08002B2CF9AE}" pid="56" name="eSynDocVersionType">
    <vt:lpwstr>N</vt:lpwstr>
  </property>
  <property fmtid="{D5CDD505-2E9C-101B-9397-08002B2CF9AE}" pid="57" name="eSynDocURL">
    <vt:lpwstr>https://synthalg.vng.nl:443/</vt:lpwstr>
  </property>
  <property fmtid="{D5CDD505-2E9C-101B-9397-08002B2CF9AE}" pid="58" name="eSynDocSavedToSynergy">
    <vt:bool>true</vt:bool>
  </property>
  <property fmtid="{D5CDD505-2E9C-101B-9397-08002B2CF9AE}" pid="59" name="eSynDocIsMailDocument">
    <vt:bool>false</vt:bool>
  </property>
  <property fmtid="{D5CDD505-2E9C-101B-9397-08002B2CF9AE}" pid="60" name="eSynDocTypeID">
    <vt:lpwstr>116</vt:lpwstr>
  </property>
  <property fmtid="{D5CDD505-2E9C-101B-9397-08002B2CF9AE}" pid="61" name="eSynDocSecurity">
    <vt:lpwstr>10</vt:lpwstr>
  </property>
  <property fmtid="{D5CDD505-2E9C-101B-9397-08002B2CF9AE}" pid="62" name="eSynDocHID">
    <vt:lpwstr>3526</vt:lpwstr>
  </property>
  <property fmtid="{D5CDD505-2E9C-101B-9397-08002B2CF9AE}" pid="63" name="eSynCleanUp17-2-2017 15:31:26">
    <vt:i4>1</vt:i4>
  </property>
  <property fmtid="{D5CDD505-2E9C-101B-9397-08002B2CF9AE}" pid="64" name="eSynCleanUp7-4-2017 11:30:33">
    <vt:i4>1</vt:i4>
  </property>
  <property fmtid="{D5CDD505-2E9C-101B-9397-08002B2CF9AE}" pid="65" name="eSynCleanUp04/11/2017 15:23:13">
    <vt:i4>1</vt:i4>
  </property>
  <property fmtid="{D5CDD505-2E9C-101B-9397-08002B2CF9AE}" pid="66" name="ContentTypeId">
    <vt:lpwstr>0x010100F1F2CD408218F54298569E3855BEDE66</vt:lpwstr>
  </property>
  <property fmtid="{D5CDD505-2E9C-101B-9397-08002B2CF9AE}" pid="67" name="MediaServiceImageTags">
    <vt:lpwstr/>
  </property>
  <property fmtid="{D5CDD505-2E9C-101B-9397-08002B2CF9AE}" pid="68" name="GrammarlyDocumentId">
    <vt:lpwstr>cc4e5f29d5a1d770ee109c0f317d89e83a8c074fc620d9d32c73066a6dc4d2ea</vt:lpwstr>
  </property>
</Properties>
</file>